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EEE5"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Pogodbeni stranki</w:t>
      </w:r>
    </w:p>
    <w:p w14:paraId="7FCA9065"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Javno podjetje Center za ravnanje z odpadki Puconci d.o.o.</w:t>
      </w:r>
      <w:r w:rsidRPr="008D0C9E">
        <w:rPr>
          <w:rFonts w:ascii="Century Gothic" w:hAnsi="Century Gothic"/>
          <w:sz w:val="20"/>
          <w:szCs w:val="20"/>
        </w:rPr>
        <w:t xml:space="preserve">, </w:t>
      </w:r>
      <w:r w:rsidRPr="008D0C9E">
        <w:rPr>
          <w:rFonts w:ascii="Century Gothic" w:hAnsi="Century Gothic"/>
          <w:b/>
          <w:bCs/>
          <w:sz w:val="20"/>
          <w:szCs w:val="20"/>
        </w:rPr>
        <w:t>Vaneča 81B, 9201 Puconci,</w:t>
      </w:r>
    </w:p>
    <w:p w14:paraId="19125E4B"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ki ga zastopa direktorica Simona Biro,</w:t>
      </w:r>
    </w:p>
    <w:p w14:paraId="70B8106D"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matična številka: 3356655000, ID za DDV: SI67396704</w:t>
      </w:r>
    </w:p>
    <w:p w14:paraId="605B13BE"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(v nadaljevanju: naročnik)</w:t>
      </w:r>
    </w:p>
    <w:p w14:paraId="21113A77"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in</w:t>
      </w:r>
    </w:p>
    <w:p w14:paraId="2CFCA3ED"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__________________________________________________________________ (naziv oz. firma, naslov oz. sedež ter</w:t>
      </w:r>
    </w:p>
    <w:p w14:paraId="7329738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navedba zastopnika)</w:t>
      </w:r>
    </w:p>
    <w:p w14:paraId="1841868B"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matična številka: ____________________, ID za DDV: ____________________,</w:t>
      </w:r>
    </w:p>
    <w:p w14:paraId="24D3321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TRR št.: ____________________________,</w:t>
      </w:r>
    </w:p>
    <w:p w14:paraId="5534E9DA"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(v nadaljevanju: dobavitelj)</w:t>
      </w:r>
    </w:p>
    <w:p w14:paraId="69FC4010"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skleneta in dogovorita</w:t>
      </w:r>
    </w:p>
    <w:p w14:paraId="0D3286EC" w14:textId="79F8F994"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POGODBO O DOBAVI ELEKTRIČNE ENERGIJE 2027-202</w:t>
      </w:r>
      <w:r w:rsidR="00D03426">
        <w:rPr>
          <w:rFonts w:ascii="Century Gothic" w:hAnsi="Century Gothic"/>
          <w:b/>
          <w:bCs/>
          <w:sz w:val="20"/>
          <w:szCs w:val="20"/>
        </w:rPr>
        <w:t>8</w:t>
      </w:r>
    </w:p>
    <w:p w14:paraId="666ECECB"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št. ________</w:t>
      </w:r>
    </w:p>
    <w:p w14:paraId="44003164"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I. UVODNE DOLOČBE</w:t>
      </w:r>
    </w:p>
    <w:p w14:paraId="56739587"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 člen</w:t>
      </w:r>
    </w:p>
    <w:p w14:paraId="2B3C51D5"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Pogodbeni stranki uvodoma soglasno ugotavljata:</w:t>
      </w:r>
    </w:p>
    <w:p w14:paraId="441C2089" w14:textId="0C22C865" w:rsidR="00B75547" w:rsidRPr="008D0C9E" w:rsidRDefault="00B75547" w:rsidP="008D0C9E">
      <w:pPr>
        <w:pStyle w:val="Odstavekseznama"/>
        <w:numPr>
          <w:ilvl w:val="1"/>
          <w:numId w:val="1"/>
        </w:numPr>
        <w:spacing w:after="0" w:line="240" w:lineRule="auto"/>
        <w:ind w:left="567" w:right="-132"/>
        <w:jc w:val="both"/>
        <w:rPr>
          <w:rFonts w:ascii="Century Gothic" w:hAnsi="Century Gothic" w:cs="Arial"/>
          <w:sz w:val="20"/>
          <w:szCs w:val="20"/>
        </w:rPr>
      </w:pPr>
      <w:r w:rsidRPr="008D0C9E">
        <w:rPr>
          <w:rFonts w:ascii="Century Gothic" w:hAnsi="Century Gothic" w:cs="Arial"/>
          <w:sz w:val="20"/>
          <w:szCs w:val="20"/>
        </w:rPr>
        <w:t>da je naročnik izvedel postopek oddaje javnega naročila za »Dobava električne energije 2027-202</w:t>
      </w:r>
      <w:r w:rsidR="00D03426">
        <w:rPr>
          <w:rFonts w:ascii="Century Gothic" w:hAnsi="Century Gothic" w:cs="Arial"/>
          <w:sz w:val="20"/>
          <w:szCs w:val="20"/>
        </w:rPr>
        <w:t>8</w:t>
      </w:r>
      <w:r w:rsidRPr="008D0C9E">
        <w:rPr>
          <w:rFonts w:ascii="Century Gothic" w:hAnsi="Century Gothic" w:cs="Arial"/>
          <w:sz w:val="20"/>
          <w:szCs w:val="20"/>
        </w:rPr>
        <w:t>«;</w:t>
      </w:r>
    </w:p>
    <w:p w14:paraId="0618FE8A" w14:textId="77777777" w:rsidR="00B75547" w:rsidRPr="008D0C9E" w:rsidRDefault="00B75547" w:rsidP="008D0C9E">
      <w:pPr>
        <w:pStyle w:val="Odstavekseznama"/>
        <w:numPr>
          <w:ilvl w:val="1"/>
          <w:numId w:val="1"/>
        </w:numPr>
        <w:spacing w:after="0" w:line="240" w:lineRule="auto"/>
        <w:ind w:left="567" w:right="-132"/>
        <w:jc w:val="both"/>
        <w:rPr>
          <w:rFonts w:ascii="Century Gothic" w:hAnsi="Century Gothic" w:cs="Arial"/>
          <w:sz w:val="20"/>
          <w:szCs w:val="20"/>
        </w:rPr>
      </w:pPr>
      <w:r w:rsidRPr="008D0C9E">
        <w:rPr>
          <w:rFonts w:ascii="Century Gothic" w:hAnsi="Century Gothic" w:cs="Arial"/>
          <w:sz w:val="20"/>
          <w:szCs w:val="20"/>
        </w:rPr>
        <w:t>da je bilo naročilo izvedeno po odprtem postopku, objavljenem na portalu javnih naročil, pod št. objave _______________ dne ________________ in v Uradnem listu EU, št. _____________ dne ________________;</w:t>
      </w:r>
    </w:p>
    <w:p w14:paraId="07E9B4A6" w14:textId="77777777" w:rsidR="00B75547" w:rsidRPr="008D0C9E" w:rsidRDefault="00B75547" w:rsidP="008D0C9E">
      <w:pPr>
        <w:pStyle w:val="Odstavekseznama"/>
        <w:numPr>
          <w:ilvl w:val="1"/>
          <w:numId w:val="1"/>
        </w:numPr>
        <w:spacing w:after="0" w:line="240" w:lineRule="auto"/>
        <w:ind w:left="567" w:right="-132"/>
        <w:jc w:val="both"/>
        <w:rPr>
          <w:rFonts w:ascii="Century Gothic" w:hAnsi="Century Gothic" w:cs="Arial"/>
          <w:sz w:val="20"/>
          <w:szCs w:val="20"/>
        </w:rPr>
      </w:pPr>
      <w:r w:rsidRPr="008D0C9E">
        <w:rPr>
          <w:rFonts w:ascii="Century Gothic" w:hAnsi="Century Gothic" w:cs="Arial"/>
          <w:sz w:val="20"/>
          <w:szCs w:val="20"/>
        </w:rPr>
        <w:t>da je bil skladno z odločitvijo o oddaji javnega naročila št. _________________, ki je bila objavljena na portalu javnih naročil dne ___________________, dobavitelj izbran kot ekonomsko najugodnejši ponudnik;</w:t>
      </w:r>
    </w:p>
    <w:p w14:paraId="2BC406D8" w14:textId="77777777" w:rsidR="00B75547" w:rsidRPr="008D0C9E" w:rsidRDefault="00B75547" w:rsidP="008D0C9E">
      <w:pPr>
        <w:pStyle w:val="Odstavekseznama"/>
        <w:numPr>
          <w:ilvl w:val="1"/>
          <w:numId w:val="1"/>
        </w:numPr>
        <w:spacing w:after="0" w:line="240" w:lineRule="auto"/>
        <w:ind w:left="567" w:right="-132"/>
        <w:jc w:val="both"/>
        <w:rPr>
          <w:rFonts w:ascii="Century Gothic" w:hAnsi="Century Gothic" w:cs="Arial"/>
          <w:sz w:val="20"/>
          <w:szCs w:val="20"/>
        </w:rPr>
      </w:pPr>
      <w:r w:rsidRPr="008D0C9E">
        <w:rPr>
          <w:rFonts w:ascii="Century Gothic" w:hAnsi="Century Gothic" w:cs="Arial"/>
          <w:sz w:val="20"/>
          <w:szCs w:val="20"/>
        </w:rPr>
        <w:t>da je odločitev o oddaji javnega naročila iz 3. alinee tega člena pravnomočna;</w:t>
      </w:r>
    </w:p>
    <w:p w14:paraId="1A474B56" w14:textId="77777777" w:rsidR="00B75547" w:rsidRPr="008D0C9E" w:rsidRDefault="00B75547" w:rsidP="008D0C9E">
      <w:pPr>
        <w:pStyle w:val="Odstavekseznama"/>
        <w:numPr>
          <w:ilvl w:val="1"/>
          <w:numId w:val="1"/>
        </w:numPr>
        <w:spacing w:after="0" w:line="240" w:lineRule="auto"/>
        <w:ind w:left="567" w:right="-132"/>
        <w:jc w:val="both"/>
        <w:rPr>
          <w:rFonts w:ascii="Century Gothic" w:eastAsia="Times New Roman" w:hAnsi="Century Gothic" w:cs="Arial"/>
          <w:kern w:val="3"/>
          <w:sz w:val="20"/>
          <w:szCs w:val="20"/>
          <w:lang w:eastAsia="zh-CN"/>
        </w:rPr>
      </w:pPr>
      <w:r w:rsidRPr="008D0C9E">
        <w:rPr>
          <w:rFonts w:ascii="Century Gothic" w:hAnsi="Century Gothic" w:cs="Arial"/>
          <w:sz w:val="20"/>
          <w:szCs w:val="20"/>
        </w:rPr>
        <w:t>da sta dokumentacija v zvezi z naročilom in ponudbena dokumentacija dobavitelja sestavni del te pogodbe</w:t>
      </w:r>
      <w:r w:rsidRPr="008D0C9E">
        <w:rPr>
          <w:rFonts w:ascii="Century Gothic" w:eastAsia="Times New Roman" w:hAnsi="Century Gothic" w:cs="Arial"/>
          <w:kern w:val="3"/>
          <w:sz w:val="20"/>
          <w:szCs w:val="20"/>
          <w:lang w:eastAsia="zh-CN"/>
        </w:rPr>
        <w:t>.</w:t>
      </w:r>
    </w:p>
    <w:p w14:paraId="3C21E4EE" w14:textId="77777777" w:rsidR="00B75547" w:rsidRPr="008D0C9E" w:rsidRDefault="00B75547" w:rsidP="008D0C9E">
      <w:pPr>
        <w:spacing w:line="240" w:lineRule="auto"/>
        <w:rPr>
          <w:rFonts w:ascii="Century Gothic" w:hAnsi="Century Gothic"/>
          <w:sz w:val="20"/>
          <w:szCs w:val="20"/>
        </w:rPr>
      </w:pPr>
    </w:p>
    <w:p w14:paraId="7B584B42" w14:textId="77777777" w:rsidR="00B75547" w:rsidRPr="008D0C9E" w:rsidRDefault="00B75547" w:rsidP="00D03426">
      <w:pPr>
        <w:spacing w:line="240" w:lineRule="auto"/>
        <w:jc w:val="both"/>
        <w:rPr>
          <w:rFonts w:ascii="Century Gothic" w:hAnsi="Century Gothic"/>
          <w:sz w:val="20"/>
          <w:szCs w:val="20"/>
        </w:rPr>
      </w:pPr>
      <w:r w:rsidRPr="008D0C9E">
        <w:rPr>
          <w:rFonts w:ascii="Century Gothic" w:hAnsi="Century Gothic"/>
          <w:sz w:val="20"/>
          <w:szCs w:val="20"/>
        </w:rPr>
        <w:t>Sestavni del te pogodbe so dokumentacija v zvezi z oddajo javnega naročila z vsemi spremembami, dopolnitvami in pojasnili naročnika, objavljenimi v postopku javnega naročanja, ponudba dobavitelja ter ponudbeni predračun. V primeru neskladja med posameznimi dokumenti se uporabljajo določbe dokumentacije v zvezi z oddajo javnega naročila in te pogodbe, ponudba dobavitelja pa v delu, v katerem za naročnika določa ugodnejše pogoje in ni v nasprotju z zahtevami dokumentacije.</w:t>
      </w:r>
    </w:p>
    <w:p w14:paraId="054C2A27"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 člen</w:t>
      </w:r>
    </w:p>
    <w:p w14:paraId="55F9C15B" w14:textId="77777777" w:rsidR="00B75547" w:rsidRPr="008D0C9E" w:rsidRDefault="00B75547" w:rsidP="008D0C9E">
      <w:pPr>
        <w:spacing w:line="240" w:lineRule="auto"/>
        <w:jc w:val="both"/>
        <w:rPr>
          <w:rFonts w:ascii="Century Gothic" w:hAnsi="Century Gothic"/>
          <w:b/>
          <w:bCs/>
          <w:sz w:val="20"/>
          <w:szCs w:val="20"/>
        </w:rPr>
      </w:pPr>
      <w:r w:rsidRPr="008D0C9E">
        <w:rPr>
          <w:rFonts w:ascii="Century Gothic" w:hAnsi="Century Gothic"/>
          <w:b/>
          <w:bCs/>
          <w:sz w:val="20"/>
          <w:szCs w:val="20"/>
        </w:rPr>
        <w:t>II. PREDMET in ČAS TRAJANJA POGODBE</w:t>
      </w:r>
    </w:p>
    <w:p w14:paraId="697B99D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Predmet te pogodbe je prodaja in neprekinjena dobava električne energije za vsa merilna mesta, ki so v lasti oziroma upravljanju naročnika in so navedena v prilogi »Seznam merilnih mest z ocenjeno porabo za obdobje 24 mesecev«, ter za morebitna nova merilna mesta, ki jih naročnik pridobi oziroma začne upravljati v času veljavnosti te pogodbe.</w:t>
      </w:r>
    </w:p>
    <w:p w14:paraId="45C8FE5B"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lastRenderedPageBreak/>
        <w:t>Dobavitelj se zavezuje zagotavljati dobavo električne energije neprekinjeno (24 ur na dan), pravočasno, pravilno, kakovostno in strokovno ter v skladu z veljavnimi predpisi, pravili stroke in zahtevami dokumentacije v zvezi z oddajo javnega naročila.</w:t>
      </w:r>
    </w:p>
    <w:p w14:paraId="4AD2C692"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Ocenjene količine električne energije za celotno obdobje izvajanja pogodbe znašajo:</w:t>
      </w:r>
    </w:p>
    <w:p w14:paraId="13189CE5"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 VT: 2.069.710 kWh,</w:t>
      </w:r>
      <w:r w:rsidRPr="008D0C9E">
        <w:rPr>
          <w:rFonts w:ascii="Century Gothic" w:hAnsi="Century Gothic"/>
          <w:sz w:val="20"/>
          <w:szCs w:val="20"/>
        </w:rPr>
        <w:br/>
        <w:t>– MT: 751.896 kWh,</w:t>
      </w:r>
      <w:r w:rsidRPr="008D0C9E">
        <w:rPr>
          <w:rFonts w:ascii="Century Gothic" w:hAnsi="Century Gothic"/>
          <w:sz w:val="20"/>
          <w:szCs w:val="20"/>
        </w:rPr>
        <w:br/>
        <w:t>– skupaj: 2.821.606 kWh.</w:t>
      </w:r>
    </w:p>
    <w:p w14:paraId="3247A61A" w14:textId="66D7E4EC"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Navedene količine so ocenjene in za naročnika niso zavezujoče. Naročnik bo električno energijo naročal glede na svoje dejanske potrebe, dobavitelj pa se zavezuje zagotavljati dobavo dejansko potrebnih količin po pogodbenih cenah in drugih pogojih </w:t>
      </w:r>
      <w:r w:rsidR="00170D30">
        <w:rPr>
          <w:rFonts w:ascii="Century Gothic" w:hAnsi="Century Gothic"/>
          <w:sz w:val="20"/>
          <w:szCs w:val="20"/>
        </w:rPr>
        <w:t xml:space="preserve">iz </w:t>
      </w:r>
      <w:r w:rsidRPr="008D0C9E">
        <w:rPr>
          <w:rFonts w:ascii="Century Gothic" w:hAnsi="Century Gothic"/>
          <w:sz w:val="20"/>
          <w:szCs w:val="20"/>
        </w:rPr>
        <w:t>t</w:t>
      </w:r>
      <w:r w:rsidR="00170D30">
        <w:rPr>
          <w:rFonts w:ascii="Century Gothic" w:hAnsi="Century Gothic"/>
          <w:sz w:val="20"/>
          <w:szCs w:val="20"/>
        </w:rPr>
        <w:t>e</w:t>
      </w:r>
      <w:r w:rsidRPr="008D0C9E">
        <w:rPr>
          <w:rFonts w:ascii="Century Gothic" w:hAnsi="Century Gothic"/>
          <w:sz w:val="20"/>
          <w:szCs w:val="20"/>
        </w:rPr>
        <w:t xml:space="preserve"> pogodbe.</w:t>
      </w:r>
    </w:p>
    <w:p w14:paraId="01BC1408" w14:textId="28DB3E81"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Pogodba </w:t>
      </w:r>
      <w:r w:rsidR="00170D30">
        <w:rPr>
          <w:rFonts w:ascii="Century Gothic" w:hAnsi="Century Gothic"/>
          <w:sz w:val="20"/>
          <w:szCs w:val="20"/>
        </w:rPr>
        <w:t>j</w:t>
      </w:r>
      <w:r w:rsidRPr="008D0C9E">
        <w:rPr>
          <w:rFonts w:ascii="Century Gothic" w:hAnsi="Century Gothic"/>
          <w:sz w:val="20"/>
          <w:szCs w:val="20"/>
        </w:rPr>
        <w:t>e sklen</w:t>
      </w:r>
      <w:r w:rsidR="00170D30">
        <w:rPr>
          <w:rFonts w:ascii="Century Gothic" w:hAnsi="Century Gothic"/>
          <w:sz w:val="20"/>
          <w:szCs w:val="20"/>
        </w:rPr>
        <w:t>j</w:t>
      </w:r>
      <w:r w:rsidRPr="008D0C9E">
        <w:rPr>
          <w:rFonts w:ascii="Century Gothic" w:hAnsi="Century Gothic"/>
          <w:sz w:val="20"/>
          <w:szCs w:val="20"/>
        </w:rPr>
        <w:t>e</w:t>
      </w:r>
      <w:r w:rsidR="00170D30">
        <w:rPr>
          <w:rFonts w:ascii="Century Gothic" w:hAnsi="Century Gothic"/>
          <w:sz w:val="20"/>
          <w:szCs w:val="20"/>
        </w:rPr>
        <w:t>na</w:t>
      </w:r>
      <w:r w:rsidRPr="008D0C9E">
        <w:rPr>
          <w:rFonts w:ascii="Century Gothic" w:hAnsi="Century Gothic"/>
          <w:sz w:val="20"/>
          <w:szCs w:val="20"/>
        </w:rPr>
        <w:t xml:space="preserve"> za obdobje od </w:t>
      </w:r>
      <w:r w:rsidR="00170D30">
        <w:rPr>
          <w:rFonts w:ascii="Century Gothic" w:hAnsi="Century Gothic"/>
          <w:sz w:val="20"/>
          <w:szCs w:val="20"/>
        </w:rPr>
        <w:t>dneva podpisa</w:t>
      </w:r>
      <w:r w:rsidRPr="008D0C9E">
        <w:rPr>
          <w:rFonts w:ascii="Century Gothic" w:hAnsi="Century Gothic"/>
          <w:sz w:val="20"/>
          <w:szCs w:val="20"/>
        </w:rPr>
        <w:t xml:space="preserve"> do 31. 12. 2028, dobava električne energije pa se za posamezno merilno mesto začne z dnem uspešne vključitve merilnega mesta v bilančno skupino dobavitelja, predvidoma </w:t>
      </w:r>
      <w:r w:rsidR="00170D30">
        <w:rPr>
          <w:rFonts w:ascii="Century Gothic" w:hAnsi="Century Gothic"/>
          <w:sz w:val="20"/>
          <w:szCs w:val="20"/>
        </w:rPr>
        <w:t xml:space="preserve">pa s </w:t>
      </w:r>
      <w:r w:rsidRPr="008D0C9E">
        <w:rPr>
          <w:rFonts w:ascii="Century Gothic" w:hAnsi="Century Gothic"/>
          <w:sz w:val="20"/>
          <w:szCs w:val="20"/>
        </w:rPr>
        <w:t>1. 1. 2027.</w:t>
      </w:r>
    </w:p>
    <w:p w14:paraId="27592F8E"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3. člen</w:t>
      </w:r>
    </w:p>
    <w:p w14:paraId="23821A5B"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Naročnik s podpisom pogodbe o prodaji in dobavi električne energije dovoli dobavitelju, da v njegovem imenu pri </w:t>
      </w:r>
      <w:proofErr w:type="spellStart"/>
      <w:r w:rsidRPr="008D0C9E">
        <w:rPr>
          <w:rFonts w:ascii="Century Gothic" w:hAnsi="Century Gothic"/>
          <w:sz w:val="20"/>
          <w:szCs w:val="20"/>
        </w:rPr>
        <w:t>elektrooperaterju</w:t>
      </w:r>
      <w:proofErr w:type="spellEnd"/>
      <w:r w:rsidRPr="008D0C9E">
        <w:rPr>
          <w:rFonts w:ascii="Century Gothic" w:hAnsi="Century Gothic"/>
          <w:sz w:val="20"/>
          <w:szCs w:val="20"/>
        </w:rPr>
        <w:t xml:space="preserve"> uveljavlja dostop do omrežja, zastopa njegove interese v zvezi z dostopom do omrežja ter od </w:t>
      </w:r>
      <w:proofErr w:type="spellStart"/>
      <w:r w:rsidRPr="008D0C9E">
        <w:rPr>
          <w:rFonts w:ascii="Century Gothic" w:hAnsi="Century Gothic"/>
          <w:sz w:val="20"/>
          <w:szCs w:val="20"/>
        </w:rPr>
        <w:t>elektrooperaterja</w:t>
      </w:r>
      <w:proofErr w:type="spellEnd"/>
      <w:r w:rsidRPr="008D0C9E">
        <w:rPr>
          <w:rFonts w:ascii="Century Gothic" w:hAnsi="Century Gothic"/>
          <w:sz w:val="20"/>
          <w:szCs w:val="20"/>
        </w:rPr>
        <w:t xml:space="preserve"> pridobi vse potrebne podatke za izvrševanje te pogodbe, vključno s telemetričnimi podatki.</w:t>
      </w:r>
    </w:p>
    <w:p w14:paraId="5139CF47"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Dobavitelj se zavezuje </w:t>
      </w:r>
      <w:proofErr w:type="spellStart"/>
      <w:r w:rsidRPr="008D0C9E">
        <w:rPr>
          <w:rFonts w:ascii="Century Gothic" w:hAnsi="Century Gothic"/>
          <w:sz w:val="20"/>
          <w:szCs w:val="20"/>
        </w:rPr>
        <w:t>elektrooperaterju</w:t>
      </w:r>
      <w:proofErr w:type="spellEnd"/>
      <w:r w:rsidRPr="008D0C9E">
        <w:rPr>
          <w:rFonts w:ascii="Century Gothic" w:hAnsi="Century Gothic"/>
          <w:sz w:val="20"/>
          <w:szCs w:val="20"/>
        </w:rPr>
        <w:t xml:space="preserve"> posredovati vse prejete podatke o spremembah na strani naročnika.</w:t>
      </w:r>
    </w:p>
    <w:p w14:paraId="31D1B5CE"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4. člen</w:t>
      </w:r>
    </w:p>
    <w:p w14:paraId="55385F99"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bo prodal, naročnik pa nabavil dejansko dobavljene količine električne energije na posameznem merilnem mestu. Predvidene količine električne energije je naročnik opredelil v ponudbenem predračunu in so okvirne, za naročnika pa niso zavezujoče.</w:t>
      </w:r>
    </w:p>
    <w:p w14:paraId="6EB86086"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nima pravice do odškodnine, nadomestila, izgubljenega dobička ali drugega zahtevka zaradi odstopanja dejanske porabe od ocenjenih količin.</w:t>
      </w:r>
    </w:p>
    <w:p w14:paraId="325BDCC2" w14:textId="77777777" w:rsidR="00B75547" w:rsidRPr="008D0C9E" w:rsidRDefault="00B75547" w:rsidP="008D0C9E">
      <w:pPr>
        <w:spacing w:line="240" w:lineRule="auto"/>
        <w:jc w:val="both"/>
        <w:rPr>
          <w:rFonts w:ascii="Century Gothic" w:hAnsi="Century Gothic"/>
          <w:b/>
          <w:bCs/>
          <w:sz w:val="20"/>
          <w:szCs w:val="20"/>
        </w:rPr>
      </w:pPr>
      <w:r w:rsidRPr="008D0C9E">
        <w:rPr>
          <w:rFonts w:ascii="Century Gothic" w:hAnsi="Century Gothic"/>
          <w:b/>
          <w:bCs/>
          <w:sz w:val="20"/>
          <w:szCs w:val="20"/>
        </w:rPr>
        <w:t>III. CENA in OBRAČUN DOBAVE</w:t>
      </w:r>
    </w:p>
    <w:p w14:paraId="0930BD7F"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5. člen</w:t>
      </w:r>
    </w:p>
    <w:p w14:paraId="2DE25B66"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Cena dobavljene električne energije je določena ločeno za višjo tarifno postavko (VT) in manjšo tarifno postavko (MT), kot izhaja iz ponudbenega predračuna dobavitelja.</w:t>
      </w:r>
    </w:p>
    <w:p w14:paraId="5FD91C9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Za določitev časovnega obdobja uporabe posamezne tarifne postavke ter za merjenje, evidentiranje in obračun porabe električne energije se uporabljajo vsakokrat veljavni predpisi in splošni akti, ki urejajo oskrbo z električno energijo, elektroenergetski sistem, merjenje in obračun električne energije.</w:t>
      </w:r>
    </w:p>
    <w:p w14:paraId="272B9498"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6. člen</w:t>
      </w:r>
    </w:p>
    <w:p w14:paraId="4DF051BA"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Pogodbena vrednost na podlagi ponudbe dobavitelja št. ___ z dne ___ in ocenjenih količin za celotno obdobje izvajanja pogodbe znaša ______ EUR brez DDV in ______ EUR z DDV.</w:t>
      </w:r>
    </w:p>
    <w:p w14:paraId="177C237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Pogodbena vrednost je ocenjena vrednost. Naročnik plačuje izključno dejansko dobavljene količine električne energije.</w:t>
      </w:r>
    </w:p>
    <w:p w14:paraId="106A40D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Pogodbene cene električne energije znašajo:</w:t>
      </w:r>
    </w:p>
    <w:p w14:paraId="5747189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VT: ______ EUR/kWh brez DDV</w:t>
      </w:r>
      <w:r w:rsidRPr="008D0C9E">
        <w:rPr>
          <w:rFonts w:ascii="Century Gothic" w:hAnsi="Century Gothic"/>
          <w:sz w:val="20"/>
          <w:szCs w:val="20"/>
        </w:rPr>
        <w:br/>
        <w:t>MT: ______ EUR/kWh brez DDV.</w:t>
      </w:r>
    </w:p>
    <w:p w14:paraId="5D86CBBE"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V pogodbeni ceni električne energije so vključeni vsi stroški dobavitelja, potrebni za pravilno in popolno izvedbo pogodbenih obveznosti, vključno z vsemi stroški zamenjave dobavitelja </w:t>
      </w:r>
      <w:r w:rsidRPr="008D0C9E">
        <w:rPr>
          <w:rFonts w:ascii="Century Gothic" w:hAnsi="Century Gothic"/>
          <w:sz w:val="20"/>
          <w:szCs w:val="20"/>
        </w:rPr>
        <w:lastRenderedPageBreak/>
        <w:t>oziroma bilančne skupine, razen stroškov, dajatev in prispevkov, za katere je v tej pogodbi oziroma dokumentaciji izrecno določeno, da niso vključeni.</w:t>
      </w:r>
    </w:p>
    <w:p w14:paraId="17431A08"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Pogodbena cena ne vključuje DDV, trošarine, omrežnine, prispevkov in drugih dajatev, katerih višino določajo pristojni državni organi oziroma drugi pristojni nosilci javnih pooblastil. Ti se obračunavajo v skladu z vsakokrat veljavnimi predpisi.</w:t>
      </w:r>
    </w:p>
    <w:p w14:paraId="044A6ED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Cene v pogodbi so določene v EUR/kWh kot neto cene in se uskladijo z vsakokrat veljavno stopnjo DDV in drugimi davčnimi dajatvami, ki jih s podpisom pogodbe prevzame v breme naročnik. V ceni so zajeti morebitni popusti in vsi stroški dobave električne energije. Naročnik naknadno ne bo priznal nobenih stroškov, ki niso zajeti v ponudbeno ceno.</w:t>
      </w:r>
    </w:p>
    <w:p w14:paraId="368BD27A"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Valorizacija iz naslednjega člena se nanaša </w:t>
      </w:r>
      <w:r w:rsidRPr="008D0C9E">
        <w:rPr>
          <w:rFonts w:ascii="Century Gothic" w:hAnsi="Century Gothic"/>
          <w:b/>
          <w:bCs/>
          <w:sz w:val="20"/>
          <w:szCs w:val="20"/>
        </w:rPr>
        <w:t>izključno na pogodbeni ceni električne energije VT in MT</w:t>
      </w:r>
      <w:r w:rsidRPr="008D0C9E">
        <w:rPr>
          <w:rFonts w:ascii="Century Gothic" w:hAnsi="Century Gothic"/>
          <w:sz w:val="20"/>
          <w:szCs w:val="20"/>
        </w:rPr>
        <w:t xml:space="preserve"> in ne na DDV, trošarino, omrežnino, prispevke ali druge regulirane dajatve.</w:t>
      </w:r>
    </w:p>
    <w:p w14:paraId="2D166305"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7. člen</w:t>
      </w:r>
    </w:p>
    <w:p w14:paraId="4EE18258"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Ponudbene cene električne energije, navedene v ponudbenem predračunu in predmetni pogodbi, morajo biti fiksne najmanj prvih dvanajst (12) mesecev od sklenitve pogodbe in se v tem obdobju ne morejo spremeniti.</w:t>
      </w:r>
    </w:p>
    <w:p w14:paraId="3C524768"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 preteku dvanajstih (12) mesecev od sklenitve pogodbe se lahko pogodbene cene električne energije valorizirajo v skladu s Pravilnikom o načinih valorizacije denarnih obveznosti, ki jih v večletnih pogodbah dogovarjajo pravne osebe javnega sektorja, in pod pogoji, določenimi v dokumentaciji v zvezi z oddajo javnega naročila ter pogodbi.</w:t>
      </w:r>
    </w:p>
    <w:p w14:paraId="3B8A27AA"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Kot podlaga za valorizacijo se uporablja mesečni indeks cen industrijskih proizvodov pri proizvajalcih na domačem trgu za področje dejavnosti D35 – »Oskrba z električno energijo, plinom in paro«, ki ga objavlja Statistični urad Republike Slovenije (SURS).</w:t>
      </w:r>
    </w:p>
    <w:p w14:paraId="3E207827"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Pogodbene cene se lahko prvič zvišajo po preteku enega leta od sklenitve pogodbe in ko kumulativno povečanje navedenega indeksa, šteto od preteka enega leta od sklenitve pogodbe, preseže 4 %. Zvišanje pogodbenih cen lahko znaša največ 80 % ugotovljenega kumulativnega povečanja indeksa.</w:t>
      </w:r>
    </w:p>
    <w:p w14:paraId="7EAE505F"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Enak mehanizem se smiselno uporablja tudi v primeru znižanja navedenega indeksa. Če po preteku enega leta od sklenitve pogodbe kumulativno znižanje indeksa, šteto od preteka enega leta od sklenitve pogodbe, preseže 4 %, je naročnik upravičen zahtevati ustrezno znižanje pogodbenih cen, pri čemer se cena zniža za 80 % ugotovljenega kumulativnega znižanja indeksa.</w:t>
      </w:r>
    </w:p>
    <w:p w14:paraId="582F4B39" w14:textId="7DF9A2F1"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Valorizacija se ne izvede avtomatično. Pogodbena stranka, ki zahteva spremembo cene, mora drugi pogodbeni stranki predložiti pisno zahtevo z navedbo uradno objavljenih podatkov SURS in preverljivim izračunom spremembe indeksa ter predlagane nove cene.</w:t>
      </w:r>
    </w:p>
    <w:p w14:paraId="2965BEC0"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Spremenjena cena se uporablja od sklenitve pisnega aneksa k pogodbi dalje in se ne uporablja retroaktivno za že izvedene dobave.</w:t>
      </w:r>
    </w:p>
    <w:p w14:paraId="3F5382F9"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Navedena možnost spremembe cen predstavlja vnaprej predvideno revizijsko klavzulo v smislu 1. točke prvega odstavka 95. člena ZJN-3.</w:t>
      </w:r>
    </w:p>
    <w:p w14:paraId="380EBA78" w14:textId="6CECEDB6" w:rsidR="008D0C9E" w:rsidRPr="008D0C9E"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Če SURS v času izvajanja pogodbe preneha objavljati navedeni indeks ali spremeni metodologijo oziroma klasifikacijo tako, da navedenega indeksa ni več mogoče uporabiti, se uporabi uradno objavljen indeks SURS, ki navedeni indeks nadomesti oziroma po svoji vsebini najbližje odraža gibanje cen na področju oskrbe z električno energijo.</w:t>
      </w:r>
    </w:p>
    <w:p w14:paraId="4B57F1F2" w14:textId="77777777" w:rsidR="00B75547" w:rsidRPr="008D0C9E" w:rsidRDefault="00B75547" w:rsidP="008D0C9E">
      <w:pPr>
        <w:spacing w:line="240" w:lineRule="auto"/>
        <w:jc w:val="center"/>
        <w:rPr>
          <w:rFonts w:ascii="Century Gothic" w:hAnsi="Century Gothic"/>
          <w:sz w:val="20"/>
          <w:szCs w:val="20"/>
        </w:rPr>
      </w:pPr>
      <w:r w:rsidRPr="008D0C9E">
        <w:rPr>
          <w:rFonts w:ascii="Century Gothic" w:hAnsi="Century Gothic"/>
          <w:sz w:val="20"/>
          <w:szCs w:val="20"/>
        </w:rPr>
        <w:t>8. člen</w:t>
      </w:r>
    </w:p>
    <w:p w14:paraId="07E9B1E1"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Obračunsko obdobje in način merjenja na posameznem merilnem mestu določa </w:t>
      </w:r>
      <w:proofErr w:type="spellStart"/>
      <w:r w:rsidRPr="008D0C9E">
        <w:rPr>
          <w:rFonts w:ascii="Century Gothic" w:hAnsi="Century Gothic"/>
          <w:sz w:val="20"/>
          <w:szCs w:val="20"/>
        </w:rPr>
        <w:t>elektrooperater</w:t>
      </w:r>
      <w:proofErr w:type="spellEnd"/>
      <w:r w:rsidRPr="008D0C9E">
        <w:rPr>
          <w:rFonts w:ascii="Century Gothic" w:hAnsi="Century Gothic"/>
          <w:sz w:val="20"/>
          <w:szCs w:val="20"/>
        </w:rPr>
        <w:t>. Za obračun dobavljene električne energije se uporabljajo podatki registrirani na merilnih napravah posameznega merilnega mesta.</w:t>
      </w:r>
    </w:p>
    <w:p w14:paraId="2B59AA81"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lastRenderedPageBreak/>
        <w:t xml:space="preserve">Za pravilnost in točnost podatkov odgovarja </w:t>
      </w:r>
      <w:proofErr w:type="spellStart"/>
      <w:r w:rsidRPr="008D0C9E">
        <w:rPr>
          <w:rFonts w:ascii="Century Gothic" w:hAnsi="Century Gothic"/>
          <w:sz w:val="20"/>
          <w:szCs w:val="20"/>
        </w:rPr>
        <w:t>elektrooperater</w:t>
      </w:r>
      <w:proofErr w:type="spellEnd"/>
      <w:r w:rsidRPr="008D0C9E">
        <w:rPr>
          <w:rFonts w:ascii="Century Gothic" w:hAnsi="Century Gothic"/>
          <w:sz w:val="20"/>
          <w:szCs w:val="20"/>
        </w:rPr>
        <w:t>.</w:t>
      </w:r>
    </w:p>
    <w:p w14:paraId="29EEDF5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Če se ugotovi, da je merilna naprava nepravilno registrirala električno energijo, pogodbeni stranki in </w:t>
      </w:r>
      <w:proofErr w:type="spellStart"/>
      <w:r w:rsidRPr="008D0C9E">
        <w:rPr>
          <w:rFonts w:ascii="Century Gothic" w:hAnsi="Century Gothic"/>
          <w:sz w:val="20"/>
          <w:szCs w:val="20"/>
        </w:rPr>
        <w:t>elektrooperater</w:t>
      </w:r>
      <w:proofErr w:type="spellEnd"/>
      <w:r w:rsidRPr="008D0C9E">
        <w:rPr>
          <w:rFonts w:ascii="Century Gothic" w:hAnsi="Century Gothic"/>
          <w:sz w:val="20"/>
          <w:szCs w:val="20"/>
        </w:rPr>
        <w:t xml:space="preserve"> skupaj ugotovijo obseg in čas nastanka napake. Ugotovljeno razliko dobavitelj poračuna v celoti pri naslednjem obračunu. Popravek se izdela za obseg in čas ugotovljene nepravilnosti, vendar največ za 12 (dvanajst) mesecev nazaj.</w:t>
      </w:r>
    </w:p>
    <w:p w14:paraId="4BFA1911"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Enako velja tudi v primeru ugotovitve napake pri obračunu.</w:t>
      </w:r>
    </w:p>
    <w:p w14:paraId="54A07791"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9. člen</w:t>
      </w:r>
    </w:p>
    <w:p w14:paraId="2B17E013"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 xml:space="preserve">Dobavitelj se zavezuje, da bo najmanj </w:t>
      </w:r>
      <w:r w:rsidRPr="00170D30">
        <w:rPr>
          <w:rFonts w:ascii="Century Gothic" w:hAnsi="Century Gothic"/>
          <w:b/>
          <w:bCs/>
          <w:sz w:val="20"/>
          <w:szCs w:val="20"/>
        </w:rPr>
        <w:t>55 % celotne količine električne energije, dobavljene naročniku, pridobljene iz obnovljivih virov energije (OVE)</w:t>
      </w:r>
      <w:r w:rsidRPr="00170D30">
        <w:rPr>
          <w:rFonts w:ascii="Century Gothic" w:hAnsi="Century Gothic"/>
          <w:sz w:val="20"/>
          <w:szCs w:val="20"/>
        </w:rPr>
        <w:t>, kot jih opredeljuje zakon, ki ureja energetiko.</w:t>
      </w:r>
    </w:p>
    <w:p w14:paraId="4DFC100B"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Dobavitelj se zavezuje, da bo po preteku posameznega koledarskega leta na račun naročnika unovčil ustrezno količino potrdil o izvoru električne energije, ki jih izda državni ali regionalni organ ali neodvisna organizacija, pooblaščena za izdajo teh potrdil, s katerimi bo dokazal izpolnitev zahteve iz prejšnjega odstavka.</w:t>
      </w:r>
    </w:p>
    <w:p w14:paraId="5A00595A"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Dobavitelj mora naročniku najpozneje v roku 60 dni po poteku posameznega koledarskega leta predložiti ustrezno dokazilo, iz katerega je razvidno unovčenje ustrezne količine potrdil o izvoru na račun naročnika.</w:t>
      </w:r>
    </w:p>
    <w:p w14:paraId="5A70A5F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Naročnik ima ves čas izvajanja pogodbe pravico preverjati izpolnjevanje obveznosti iz tega člena.</w:t>
      </w:r>
    </w:p>
    <w:p w14:paraId="2E9CC203" w14:textId="77777777" w:rsidR="00B75547" w:rsidRPr="008D0C9E"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 xml:space="preserve">Neizpolnitev zahteve glede najmanj 55-% deleža električne energije iz OVE oziroma </w:t>
      </w:r>
      <w:proofErr w:type="spellStart"/>
      <w:r w:rsidRPr="00170D30">
        <w:rPr>
          <w:rFonts w:ascii="Century Gothic" w:hAnsi="Century Gothic"/>
          <w:sz w:val="20"/>
          <w:szCs w:val="20"/>
        </w:rPr>
        <w:t>nepredložitev</w:t>
      </w:r>
      <w:proofErr w:type="spellEnd"/>
      <w:r w:rsidRPr="00170D30">
        <w:rPr>
          <w:rFonts w:ascii="Century Gothic" w:hAnsi="Century Gothic"/>
          <w:sz w:val="20"/>
          <w:szCs w:val="20"/>
        </w:rPr>
        <w:t xml:space="preserve"> ustreznega dokazila v pogodbeno določenem roku predstavlja kršitev pogodbenih obveznosti in je lahko razlog za unovčenje finančnega zavarovanja ter odstop naročnika od pogodbe pod pogoji te pogodbe.</w:t>
      </w:r>
    </w:p>
    <w:p w14:paraId="4ECBC488"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10. člen</w:t>
      </w:r>
    </w:p>
    <w:p w14:paraId="7A3F6E45"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Dobavitelj bo za finančne obveznosti iz naslova dobavljene električne energije in uporabe elektroenergetskih omrežij naročniku izstavljal skupni zbirni račun po prejemu podatkov od pristojnega </w:t>
      </w:r>
      <w:proofErr w:type="spellStart"/>
      <w:r w:rsidRPr="008D0C9E">
        <w:rPr>
          <w:rFonts w:ascii="Century Gothic" w:hAnsi="Century Gothic"/>
          <w:sz w:val="20"/>
          <w:szCs w:val="20"/>
        </w:rPr>
        <w:t>elektrooperaterja</w:t>
      </w:r>
      <w:proofErr w:type="spellEnd"/>
      <w:r w:rsidRPr="008D0C9E">
        <w:rPr>
          <w:rFonts w:ascii="Century Gothic" w:hAnsi="Century Gothic"/>
          <w:sz w:val="20"/>
          <w:szCs w:val="20"/>
        </w:rPr>
        <w:t xml:space="preserve">, potrebnih za obračun, do 12. v mesecu za dobave, ki so bile opravljene v preteklem mesecu. V kolikor dobavitelj do 10. dne v tekočem mesecu ne prejme od pristojnega </w:t>
      </w:r>
      <w:proofErr w:type="spellStart"/>
      <w:r w:rsidRPr="008D0C9E">
        <w:rPr>
          <w:rFonts w:ascii="Century Gothic" w:hAnsi="Century Gothic"/>
          <w:sz w:val="20"/>
          <w:szCs w:val="20"/>
        </w:rPr>
        <w:t>elektrooperaterja</w:t>
      </w:r>
      <w:proofErr w:type="spellEnd"/>
      <w:r w:rsidRPr="008D0C9E">
        <w:rPr>
          <w:rFonts w:ascii="Century Gothic" w:hAnsi="Century Gothic"/>
          <w:sz w:val="20"/>
          <w:szCs w:val="20"/>
        </w:rPr>
        <w:t xml:space="preserve"> obračunskih podatkov o porabljeni električni energiji za pretekli mesec, lahko izda skupni zbirni račun na podlagi napovedi, dejansko porabo pa upošteva v obliki poračuna pri naslednjem skupnem računu.</w:t>
      </w:r>
    </w:p>
    <w:p w14:paraId="6E76373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Dobavitelj bo na koncu leta s popisom števcev naredil celotni obračun letnega obdobja in v skladu z obračunom izdal račun za morebitne porabljene količine, ki jih tekom leta ni zajel v računih. Obračun bo naredil za posamična merilna mesta in za vsako posebej izdal račun. </w:t>
      </w:r>
    </w:p>
    <w:p w14:paraId="483207D6"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Znesek računa, izdanega na podlagi obračuna, je razlika med zneskom za dejansko dobavljeno električno energijo ter že zaračunanimi dobavami električne energije tekom leta.</w:t>
      </w:r>
    </w:p>
    <w:p w14:paraId="42636D24"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11. člen</w:t>
      </w:r>
    </w:p>
    <w:p w14:paraId="7B5ED418"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je dolžan izstaviti naročniku račun v elektronski obliki (e–račun), ki mora vsebovati vse podatke, ki so predpisani v ZDDV-1.</w:t>
      </w:r>
    </w:p>
    <w:p w14:paraId="7FFB8AA3"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Pri izstavitvi računa se mora dobavitelj sklicevati na številko pogodbe.</w:t>
      </w:r>
    </w:p>
    <w:p w14:paraId="70027B09"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Naročnik poravna račun za prevzeto električno energijo v roku 30 dni od dneva prejema pravilno izstavljenega računa. Kot datum plačila se šteje dan, ko je nalog za plačilo predložen ponudniku plačilnih storitev naročnika.</w:t>
      </w:r>
    </w:p>
    <w:p w14:paraId="2A36F0CC"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 primeru zamude s plačilom bo dobavitelj zaračunal naročniku zakonske zamudne obresti za čas od dneva zapadlosti računa do dneva plačila. V kolikor plačilo zapade na dela prost dan ali soboto, se šteje, da je plačilo zapadlo naslednji delovni dan.</w:t>
      </w:r>
    </w:p>
    <w:p w14:paraId="18C08493"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lastRenderedPageBreak/>
        <w:t>12. člen</w:t>
      </w:r>
    </w:p>
    <w:p w14:paraId="2CAAB34D"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Naročnik reklamacije v zvezi s pogodbo in njenim izvajanjem poda v pisni obliki, dobavitelj pa je nanje dolžan pisno odgovoriti najkasneje v roku 8. (osmih) delovnih dni od prejema.</w:t>
      </w:r>
    </w:p>
    <w:p w14:paraId="2BAD57C8"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V primeru reklamacije računa mora to naročnik uveljavljati v roku 8. (osmih) delovnih dni po prejetju računa, s pisnim ugovorom, v katerem navede razlog za reklamacijo oziroma zaprosi dobavitelja za dodatne informacije in obrazložitev glede prejetega računa. V času postopka uveljavljana reklamacije se zakonske zamudne obresti ne obračunajo.</w:t>
      </w:r>
    </w:p>
    <w:p w14:paraId="340D6016"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13. člen</w:t>
      </w:r>
    </w:p>
    <w:p w14:paraId="002BE9F6"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se zavezuje, da bo dobavljal naročniku električno energijo na način in pod pogoji določenimi s to pogodbo.</w:t>
      </w:r>
    </w:p>
    <w:p w14:paraId="2FBB3E29"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se zavezuje svoje obveznosti po tej pogodbi izpolniti strokovno, kvalitetno in skrbno v skladu z zahtevami naročnika, ki so bile navedene v razpisni dokumentaciji in predloženi ponudbi dobavitelja ter skladno s pravili stroke, zakonodajo in vso skrbnostjo dobrega gospodarstvenika. V primeru, da bo dobavitelj za izpolnitev pogodbe vključil podizvajalce, odgovarja za njihovo ravnanje, kot če bi pogodbo izpolnjeval sam.</w:t>
      </w:r>
    </w:p>
    <w:p w14:paraId="3D4C82CA"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14. člen</w:t>
      </w:r>
    </w:p>
    <w:p w14:paraId="3B4243B8"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Dobavitelj bo naročniku brez dodatnega plačila:</w:t>
      </w:r>
    </w:p>
    <w:p w14:paraId="782CB67E"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 uredil vse potrebno za zamenjavo dobavitelja in vključitev merilnih mest v svojo bilančno skupino;</w:t>
      </w:r>
      <w:r w:rsidRPr="008D0C9E">
        <w:rPr>
          <w:rFonts w:ascii="Century Gothic" w:hAnsi="Century Gothic"/>
          <w:sz w:val="20"/>
          <w:szCs w:val="20"/>
        </w:rPr>
        <w:br/>
        <w:t>– vsak mesec pripravil in naročniku posredoval skupno poročilo v elektronski obliki o porabljeni električni energiji po posameznem merilnem mestu za pretekli mesec;</w:t>
      </w:r>
      <w:r w:rsidRPr="008D0C9E">
        <w:rPr>
          <w:rFonts w:ascii="Century Gothic" w:hAnsi="Century Gothic"/>
          <w:sz w:val="20"/>
          <w:szCs w:val="20"/>
        </w:rPr>
        <w:br/>
        <w:t>– naročniku zagotovil brezplačen dostop do svojega spletnega portala za spremljanje realizacije po posameznih merilnih mestih in izdelavo dogovorjenih poročil;</w:t>
      </w:r>
      <w:r w:rsidRPr="008D0C9E">
        <w:rPr>
          <w:rFonts w:ascii="Century Gothic" w:hAnsi="Century Gothic"/>
          <w:sz w:val="20"/>
          <w:szCs w:val="20"/>
        </w:rPr>
        <w:br/>
        <w:t>– najpozneje v 30 dneh po prenehanju pogodbe posredoval podatke o porabljeni električni energiji za celotno obdobje izvajanja pogodbe, razčlenjene po mesecih in merilnih mestih.</w:t>
      </w:r>
    </w:p>
    <w:p w14:paraId="6661F901"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IV. FINANČNO ZAVAROVANJE</w:t>
      </w:r>
    </w:p>
    <w:p w14:paraId="579A97AB"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15. člen</w:t>
      </w:r>
    </w:p>
    <w:p w14:paraId="60B9621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mora naročniku, ob podpisu pogodbe, predložiti 3 (tri) bianco menice z menično izjavo za zavarovanje dobre in pravočasne izvedbe pogodbenih obveznosti (</w:t>
      </w:r>
      <w:proofErr w:type="spellStart"/>
      <w:r w:rsidRPr="008D0C9E">
        <w:rPr>
          <w:rFonts w:ascii="Century Gothic" w:hAnsi="Century Gothic"/>
          <w:sz w:val="20"/>
          <w:szCs w:val="20"/>
        </w:rPr>
        <w:t>t.j</w:t>
      </w:r>
      <w:proofErr w:type="spellEnd"/>
      <w:r w:rsidRPr="008D0C9E">
        <w:rPr>
          <w:rFonts w:ascii="Century Gothic" w:hAnsi="Century Gothic"/>
          <w:sz w:val="20"/>
          <w:szCs w:val="20"/>
        </w:rPr>
        <w:t xml:space="preserve">. izpolnjen, podpisan in žigosan obrazec »Menična izjava za zavarovanje dobre izvedbe pogodbenih obveznosti«). </w:t>
      </w:r>
    </w:p>
    <w:p w14:paraId="42F43C68"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Zavarovanje za dobro in pravočasno izvedbo pogodbenih obveznosti mora biti dano v višini 5.000,00 EUR z veljavnostjo še najmanj 30 dni po izteku veljavnosti te pogodbe. </w:t>
      </w:r>
    </w:p>
    <w:p w14:paraId="2EBE42E4"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V kolikor se z aneksom k predmetni pogodbi poveča pogodbena cena je dobavitelj dolžan naročniku dostaviti za povečano finančno zavarovanje za izvedbo pogodbenih obveznosti, v 10% zneska (z DDV), za katerega se je pogodbena vrednost z aneksom povečala glede na vrednost, kot je določena s to pogodbo. </w:t>
      </w:r>
    </w:p>
    <w:p w14:paraId="5418E7E3"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 primeru spremembe trenutno veljavne zakonodaje, ki ureja regulacijo davka na dodano vrednost na področju cen energentov, bo dobavitelj v primeru povišanja stopnje DDV ter posledično višje skupne pogodbene vrednosti v EUR z DDV, predložil naročniku povečanju skupne pogodbene vrednosti ustrezno novo finančno zavarovanje za dobro izvedbo pogodbenih obveznosti.</w:t>
      </w:r>
    </w:p>
    <w:p w14:paraId="5A84DF1B"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Predložitev menice z menično izjavo je pogoj za veljavnost pogodbe. </w:t>
      </w:r>
    </w:p>
    <w:p w14:paraId="36700160"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Finančno zavarovanje bo moralo biti vsebinsko in pomensko enako priloženemu vzorcu, ki je sestavni del razpisne dokumentacije.</w:t>
      </w:r>
    </w:p>
    <w:p w14:paraId="01F18F4E"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lastRenderedPageBreak/>
        <w:t>Finančno zavarovanje za dobro in pravočasno izvedbo pogodbenih obveznosti lahko naročnik unovči, če:</w:t>
      </w:r>
    </w:p>
    <w:p w14:paraId="2B134521"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se bo izkazalo, da dobavitelj del v celoti ali delno ne  izvršuje obveznosti v skladu s pogodbo, zahtevami dokumentacije v zvezi z oddajo javnega naročila ali ponudbeno dokumentacijo;</w:t>
      </w:r>
    </w:p>
    <w:p w14:paraId="1D4FD9C3"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dobavitelj naročniku ne preda povečanja ali podaljšanja zavarovanja za dobro in pravočasno izvedbo pogodbenih obveznosti v skladu s pogodbo;</w:t>
      </w:r>
    </w:p>
    <w:p w14:paraId="1B61BEFF"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bo naročnik pogodbo razdrl zaradi kršitev na strani dobavitelja;</w:t>
      </w:r>
    </w:p>
    <w:p w14:paraId="0FE8F61C"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bo naročnik razdrl pogodbo zaradi zamude na strani dobavitelja;</w:t>
      </w:r>
    </w:p>
    <w:p w14:paraId="77364FDC"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bi dobavitelj javno naročilo izvajal s podizvajalci, ki niso priglašeni ali s podizvajalci, katerih nominacijo je naročnik zavrnil;</w:t>
      </w:r>
    </w:p>
    <w:p w14:paraId="79A293E5"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v primeru stečaja, likvidacijskega postopka ali drugega postopka nad dobaviteljem, katerega posledica ali namen je prenehanje poslovanja ali katerikoli drug postopek, podoben navedenim postopkom, skladno s predpisi države, v kateri ima dobavitelj sedež.</w:t>
      </w:r>
    </w:p>
    <w:p w14:paraId="6D10A476"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Naročnik lahko v zgoraj navedenih primerih unovči polni znesek finančnega zavarovanje dobre izvedbe pogodbenih obveznosti.</w:t>
      </w:r>
    </w:p>
    <w:p w14:paraId="32822ED7"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Finančno zavarovanje mora veljati še najmanj 30 dni po preteku roka za izvedbo pogodbenih obveznosti. V kolikor se pogodbeni rok z aneksom k tej pogodbi podaljša je dobavitelj dolžan naročniku dostaviti podaljšano finančno zavarovanje za dobro izvedbo pogodbenih obveznosti, tako da velja še najmanj 30 dni od novega, podaljšanega roka za izvedbo pogodbenih obveznosti.</w:t>
      </w:r>
    </w:p>
    <w:p w14:paraId="474BBE34"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 kolikor bo dobavitelj javno naročilo izvajal skupaj s podizvajalci, mora finančno zavarovanje, ki ga ponudnik izda naročniku za dobro in pravočasno izvedbo kriti tudi obveznosti dobavitelja do njegovih podizvajalcev.</w:t>
      </w:r>
    </w:p>
    <w:p w14:paraId="3FCCB166"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16. člen</w:t>
      </w:r>
    </w:p>
    <w:p w14:paraId="2ABE6E19"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V. SKRBNIKI POGODBE</w:t>
      </w:r>
    </w:p>
    <w:p w14:paraId="669278F7"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Naročnik in dobavitelj za namen izvajanja te pogodbe določita kontaktni osebi:</w:t>
      </w:r>
    </w:p>
    <w:p w14:paraId="1C378B4D" w14:textId="77777777" w:rsidR="00B75547" w:rsidRPr="008D0C9E" w:rsidRDefault="00B75547" w:rsidP="008D0C9E">
      <w:pPr>
        <w:spacing w:line="240" w:lineRule="auto"/>
        <w:rPr>
          <w:rFonts w:ascii="Century Gothic" w:hAnsi="Century Gothic"/>
          <w:sz w:val="20"/>
          <w:szCs w:val="20"/>
        </w:rPr>
      </w:pPr>
    </w:p>
    <w:tbl>
      <w:tblPr>
        <w:tblStyle w:val="Tabelamrea"/>
        <w:tblW w:w="0" w:type="auto"/>
        <w:tblLook w:val="04A0" w:firstRow="1" w:lastRow="0" w:firstColumn="1" w:lastColumn="0" w:noHBand="0" w:noVBand="1"/>
      </w:tblPr>
      <w:tblGrid>
        <w:gridCol w:w="2692"/>
        <w:gridCol w:w="2198"/>
        <w:gridCol w:w="2200"/>
        <w:gridCol w:w="1972"/>
      </w:tblGrid>
      <w:tr w:rsidR="00B75547" w:rsidRPr="008D0C9E" w14:paraId="36248FC7" w14:textId="77777777" w:rsidTr="00AF6238">
        <w:tc>
          <w:tcPr>
            <w:tcW w:w="2692" w:type="dxa"/>
          </w:tcPr>
          <w:p w14:paraId="19E7CE36" w14:textId="77777777" w:rsidR="00B75547" w:rsidRPr="008D0C9E" w:rsidRDefault="00B75547" w:rsidP="008D0C9E">
            <w:pPr>
              <w:spacing w:line="240" w:lineRule="auto"/>
              <w:jc w:val="center"/>
              <w:rPr>
                <w:rFonts w:ascii="Century Gothic" w:hAnsi="Century Gothic"/>
                <w:sz w:val="20"/>
                <w:szCs w:val="20"/>
              </w:rPr>
            </w:pPr>
            <w:r w:rsidRPr="008D0C9E">
              <w:rPr>
                <w:rFonts w:ascii="Century Gothic" w:hAnsi="Century Gothic"/>
                <w:sz w:val="20"/>
                <w:szCs w:val="20"/>
              </w:rPr>
              <w:t>SKRBNIK POGODBE</w:t>
            </w:r>
          </w:p>
        </w:tc>
        <w:tc>
          <w:tcPr>
            <w:tcW w:w="2198" w:type="dxa"/>
          </w:tcPr>
          <w:p w14:paraId="6CDE9ACC" w14:textId="77777777" w:rsidR="00B75547" w:rsidRPr="008D0C9E" w:rsidRDefault="00B75547" w:rsidP="008D0C9E">
            <w:pPr>
              <w:spacing w:after="160" w:line="240" w:lineRule="auto"/>
              <w:jc w:val="center"/>
              <w:rPr>
                <w:rFonts w:ascii="Century Gothic" w:hAnsi="Century Gothic"/>
                <w:sz w:val="20"/>
                <w:szCs w:val="20"/>
              </w:rPr>
            </w:pPr>
            <w:r w:rsidRPr="008D0C9E">
              <w:rPr>
                <w:rFonts w:ascii="Century Gothic" w:hAnsi="Century Gothic"/>
                <w:sz w:val="20"/>
                <w:szCs w:val="20"/>
              </w:rPr>
              <w:t>Ime in priimek</w:t>
            </w:r>
          </w:p>
        </w:tc>
        <w:tc>
          <w:tcPr>
            <w:tcW w:w="2200" w:type="dxa"/>
          </w:tcPr>
          <w:p w14:paraId="32E57241" w14:textId="77777777" w:rsidR="00B75547" w:rsidRPr="008D0C9E" w:rsidRDefault="00B75547" w:rsidP="008D0C9E">
            <w:pPr>
              <w:spacing w:line="240" w:lineRule="auto"/>
              <w:jc w:val="center"/>
              <w:rPr>
                <w:rFonts w:ascii="Century Gothic" w:hAnsi="Century Gothic"/>
                <w:sz w:val="20"/>
                <w:szCs w:val="20"/>
              </w:rPr>
            </w:pPr>
            <w:r w:rsidRPr="008D0C9E">
              <w:rPr>
                <w:rFonts w:ascii="Century Gothic" w:hAnsi="Century Gothic"/>
                <w:sz w:val="20"/>
                <w:szCs w:val="20"/>
              </w:rPr>
              <w:t>Telefon</w:t>
            </w:r>
          </w:p>
        </w:tc>
        <w:tc>
          <w:tcPr>
            <w:tcW w:w="1972" w:type="dxa"/>
          </w:tcPr>
          <w:p w14:paraId="275D020E" w14:textId="77777777" w:rsidR="00B75547" w:rsidRPr="008D0C9E" w:rsidRDefault="00B75547" w:rsidP="008D0C9E">
            <w:pPr>
              <w:spacing w:after="160" w:line="240" w:lineRule="auto"/>
              <w:jc w:val="center"/>
              <w:rPr>
                <w:rFonts w:ascii="Century Gothic" w:hAnsi="Century Gothic"/>
                <w:sz w:val="20"/>
                <w:szCs w:val="20"/>
              </w:rPr>
            </w:pPr>
            <w:r w:rsidRPr="008D0C9E">
              <w:rPr>
                <w:rFonts w:ascii="Century Gothic" w:hAnsi="Century Gothic"/>
                <w:sz w:val="20"/>
                <w:szCs w:val="20"/>
              </w:rPr>
              <w:t>e-pošta</w:t>
            </w:r>
          </w:p>
        </w:tc>
      </w:tr>
      <w:tr w:rsidR="00B75547" w:rsidRPr="008D0C9E" w14:paraId="1F007950" w14:textId="77777777" w:rsidTr="00AF6238">
        <w:tc>
          <w:tcPr>
            <w:tcW w:w="2692" w:type="dxa"/>
          </w:tcPr>
          <w:p w14:paraId="33ACA41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Dobavitelj</w:t>
            </w:r>
          </w:p>
        </w:tc>
        <w:tc>
          <w:tcPr>
            <w:tcW w:w="2198" w:type="dxa"/>
          </w:tcPr>
          <w:p w14:paraId="011F647E" w14:textId="77777777" w:rsidR="00B75547" w:rsidRPr="008D0C9E" w:rsidRDefault="00B75547" w:rsidP="008D0C9E">
            <w:pPr>
              <w:spacing w:line="240" w:lineRule="auto"/>
              <w:rPr>
                <w:rFonts w:ascii="Century Gothic" w:hAnsi="Century Gothic"/>
                <w:sz w:val="20"/>
                <w:szCs w:val="20"/>
              </w:rPr>
            </w:pPr>
          </w:p>
        </w:tc>
        <w:tc>
          <w:tcPr>
            <w:tcW w:w="2200" w:type="dxa"/>
          </w:tcPr>
          <w:p w14:paraId="2C5EE55B" w14:textId="77777777" w:rsidR="00B75547" w:rsidRPr="008D0C9E" w:rsidRDefault="00B75547" w:rsidP="008D0C9E">
            <w:pPr>
              <w:spacing w:line="240" w:lineRule="auto"/>
              <w:rPr>
                <w:rFonts w:ascii="Century Gothic" w:hAnsi="Century Gothic"/>
                <w:sz w:val="20"/>
                <w:szCs w:val="20"/>
              </w:rPr>
            </w:pPr>
          </w:p>
        </w:tc>
        <w:tc>
          <w:tcPr>
            <w:tcW w:w="1972" w:type="dxa"/>
          </w:tcPr>
          <w:p w14:paraId="4F9194A6" w14:textId="77777777" w:rsidR="00B75547" w:rsidRPr="008D0C9E" w:rsidRDefault="00B75547" w:rsidP="008D0C9E">
            <w:pPr>
              <w:spacing w:line="240" w:lineRule="auto"/>
              <w:rPr>
                <w:rFonts w:ascii="Century Gothic" w:hAnsi="Century Gothic"/>
                <w:sz w:val="20"/>
                <w:szCs w:val="20"/>
              </w:rPr>
            </w:pPr>
          </w:p>
        </w:tc>
      </w:tr>
      <w:tr w:rsidR="00B75547" w:rsidRPr="008D0C9E" w14:paraId="436CE35E" w14:textId="77777777" w:rsidTr="00AF6238">
        <w:tc>
          <w:tcPr>
            <w:tcW w:w="2692" w:type="dxa"/>
          </w:tcPr>
          <w:p w14:paraId="703ABB7D"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Naročnik</w:t>
            </w:r>
          </w:p>
        </w:tc>
        <w:tc>
          <w:tcPr>
            <w:tcW w:w="2198" w:type="dxa"/>
          </w:tcPr>
          <w:p w14:paraId="1837AAEA" w14:textId="77777777" w:rsidR="00B75547" w:rsidRPr="008D0C9E" w:rsidRDefault="00B75547" w:rsidP="008D0C9E">
            <w:pPr>
              <w:spacing w:line="240" w:lineRule="auto"/>
              <w:rPr>
                <w:rFonts w:ascii="Century Gothic" w:hAnsi="Century Gothic"/>
                <w:sz w:val="20"/>
                <w:szCs w:val="20"/>
              </w:rPr>
            </w:pPr>
          </w:p>
        </w:tc>
        <w:tc>
          <w:tcPr>
            <w:tcW w:w="2200" w:type="dxa"/>
          </w:tcPr>
          <w:p w14:paraId="2AA49A44" w14:textId="77777777" w:rsidR="00B75547" w:rsidRPr="008D0C9E" w:rsidRDefault="00B75547" w:rsidP="008D0C9E">
            <w:pPr>
              <w:spacing w:line="240" w:lineRule="auto"/>
              <w:rPr>
                <w:rFonts w:ascii="Century Gothic" w:hAnsi="Century Gothic"/>
                <w:sz w:val="20"/>
                <w:szCs w:val="20"/>
              </w:rPr>
            </w:pPr>
          </w:p>
        </w:tc>
        <w:tc>
          <w:tcPr>
            <w:tcW w:w="1972" w:type="dxa"/>
          </w:tcPr>
          <w:p w14:paraId="07BEF295" w14:textId="77777777" w:rsidR="00B75547" w:rsidRPr="008D0C9E" w:rsidRDefault="00B75547" w:rsidP="008D0C9E">
            <w:pPr>
              <w:spacing w:line="240" w:lineRule="auto"/>
              <w:rPr>
                <w:rFonts w:ascii="Century Gothic" w:hAnsi="Century Gothic"/>
                <w:sz w:val="20"/>
                <w:szCs w:val="20"/>
              </w:rPr>
            </w:pPr>
          </w:p>
        </w:tc>
      </w:tr>
    </w:tbl>
    <w:p w14:paraId="435B718D" w14:textId="77777777" w:rsidR="00B75547" w:rsidRPr="008D0C9E" w:rsidRDefault="00B75547" w:rsidP="008D0C9E">
      <w:pPr>
        <w:spacing w:line="240" w:lineRule="auto"/>
        <w:rPr>
          <w:rFonts w:ascii="Century Gothic" w:hAnsi="Century Gothic"/>
          <w:sz w:val="20"/>
          <w:szCs w:val="20"/>
        </w:rPr>
      </w:pPr>
    </w:p>
    <w:p w14:paraId="26201759"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 primeru sprememb kontaktnih oseb sta pogodbeni stranki dolžni obvestiti ena drugo najkasneje v petih (5) dneh od nastalih sprememb. Vsa komunikacija v zvezi z izvajanjem te pogodbe poteka izključeno v slovenskem jeziku.</w:t>
      </w:r>
    </w:p>
    <w:p w14:paraId="382C851A" w14:textId="77777777" w:rsidR="00B75547" w:rsidRPr="008D0C9E" w:rsidRDefault="00B75547" w:rsidP="008D0C9E">
      <w:pPr>
        <w:spacing w:line="240" w:lineRule="auto"/>
        <w:jc w:val="both"/>
        <w:rPr>
          <w:rFonts w:ascii="Century Gothic" w:hAnsi="Century Gothic"/>
          <w:b/>
          <w:bCs/>
          <w:sz w:val="20"/>
          <w:szCs w:val="20"/>
        </w:rPr>
      </w:pPr>
      <w:r w:rsidRPr="008D0C9E">
        <w:rPr>
          <w:rFonts w:ascii="Century Gothic" w:hAnsi="Century Gothic"/>
          <w:b/>
          <w:bCs/>
          <w:sz w:val="20"/>
          <w:szCs w:val="20"/>
        </w:rPr>
        <w:t>VI. PRENEHANJE POGODBE IN VIŠJA SILA</w:t>
      </w:r>
    </w:p>
    <w:p w14:paraId="1EFB1322"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17. člen</w:t>
      </w:r>
    </w:p>
    <w:p w14:paraId="2119CD47"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Naročnik lahko od pogodbe odstopi brez odpovednega roka, če dobavitelj krši pogodbene obveznosti in kršitve, kadar je glede na njeno naravo odpravljiva, ne odpravi niti v primernem roku, ki mu ga določi naročnik v pisnem pozivu, zlasti pa če dobavitelj:</w:t>
      </w:r>
    </w:p>
    <w:p w14:paraId="75E4F308"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ne upošteva reklamacij, ki jih naročnik sporoča na dogovorjen način,</w:t>
      </w:r>
    </w:p>
    <w:p w14:paraId="6B4C7CBB"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ne izpolnjuje določil te pogodbe,</w:t>
      </w:r>
    </w:p>
    <w:p w14:paraId="7059F177"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ne upošteva s to pogodbo dogovorjene cene,</w:t>
      </w:r>
    </w:p>
    <w:p w14:paraId="459152D9"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lastRenderedPageBreak/>
        <w:t>- brez soglasja naročnika naknadno izvajanje pogodbe prepusti v izvedbo podizvajalcem.</w:t>
      </w:r>
    </w:p>
    <w:p w14:paraId="732428F8"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ne zagotavlja zahtevanega najmanj 55-% deleža električne energije iz obnovljivih virov energije oziroma v pogodbenem roku ne predloži zahtevanih dokazil o unovčenju ustrezne količine potrdil o izvoru;</w:t>
      </w:r>
    </w:p>
    <w:p w14:paraId="4D449FA3"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in če</w:t>
      </w:r>
    </w:p>
    <w:p w14:paraId="5CAD1FA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neupravičeno obračunava cene, ki niso skladne s pogodbo oziroma valorizacijsko klavzulo.</w:t>
      </w:r>
    </w:p>
    <w:p w14:paraId="78A3678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 primeru neizpolnjevanja pogodbe s strani dobavitelja na način, da ne dobavi električne energije, mora dobavitelj naročniku povrniti škodo in stroške, ki jih je naročnik imel, ker je moral zaradi dobaviteljevega neizpolnjevanja obveznosti električno energijo nabaviti drugje.</w:t>
      </w:r>
    </w:p>
    <w:p w14:paraId="2FC6E861"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Za poplačilo nastalih stroškov in škode lahko naročnik unovči finančno zavarovanje za dobro izvedbo pogodbenih obveznosti, v kolikor pa le-ta ne zadostuje, mora dobavitelj plačati razliko do polne višine nastalih stroškov in škode v 30. dneh od datuma prejema pisnega zahtevka naročnika.</w:t>
      </w:r>
    </w:p>
    <w:p w14:paraId="7CCD9858"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18. člen</w:t>
      </w:r>
    </w:p>
    <w:p w14:paraId="765A5044"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lahko naročniku odpove pogodbo zaradi neplačila 2 zaporednih obveznosti za dobavo energije. Pred odpovedjo mora dobavitelj pisno pozvati naročnika k plačilu s priporočeno pošto, ter mu omogočiti dodaten rok za plačilo obveznosti.</w:t>
      </w:r>
    </w:p>
    <w:p w14:paraId="01C63AEA"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V primeru, da naročnik ne plača vseh pogodbenih obveznosti niti v 10. (desetih) dneh po pisnem opominu, lahko dobavitelj po predhodnem pisnem obvestilu odstopi od pogodbe o prodaji električne energije in obvesti pristojnega </w:t>
      </w:r>
      <w:proofErr w:type="spellStart"/>
      <w:r w:rsidRPr="008D0C9E">
        <w:rPr>
          <w:rFonts w:ascii="Century Gothic" w:hAnsi="Century Gothic"/>
          <w:sz w:val="20"/>
          <w:szCs w:val="20"/>
        </w:rPr>
        <w:t>elektrooperaterja</w:t>
      </w:r>
      <w:proofErr w:type="spellEnd"/>
      <w:r w:rsidRPr="008D0C9E">
        <w:rPr>
          <w:rFonts w:ascii="Century Gothic" w:hAnsi="Century Gothic"/>
          <w:sz w:val="20"/>
          <w:szCs w:val="20"/>
        </w:rPr>
        <w:t xml:space="preserve"> o prenehanju prodaje električne energije naročniku.</w:t>
      </w:r>
    </w:p>
    <w:p w14:paraId="2CCEE060"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19. člen</w:t>
      </w:r>
    </w:p>
    <w:p w14:paraId="178293A7"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Pogodbeni stranki se zavezujeta, da bosta vse podatke in informacije iz te pogodbe ter prilog k tej pogodbi ali v zvezi z izvrševanjem te pogodbe obravnavali kot poslovno skrivnost.</w:t>
      </w:r>
    </w:p>
    <w:p w14:paraId="076730CF"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Določila prejšnjega odstavka se ne uporabljajo za podatke, katerih razkritje, posredovanje ali objavo zahtevajo vsakokrat veljavni predpisi, ki urejajo oskrbo z električno energijo, elektroenergetski sistem, dostop do informacij javnega značaja ali javno naročanje, ter drugi veljavni predpisi.</w:t>
      </w:r>
    </w:p>
    <w:p w14:paraId="1CC81F16"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20. člen</w:t>
      </w:r>
    </w:p>
    <w:p w14:paraId="445D5713"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Višja sila pomeni vse nepredvidene in nepričakovane dogodke, ki nastopijo neodvisno od volje strank in ki jih stranki nista mogli predvideti ob sklepanju pogodbe ter vplivajo na izvršitev pogodbenih obveznosti. Nobena od strank ni odgovorna za neizpolnitev svojih obveznosti iz razlogov, ki so izven njenega nadzora in je ni bilo mogoče predvideti ali preprečiti.</w:t>
      </w:r>
    </w:p>
    <w:p w14:paraId="4BE243B3" w14:textId="77777777" w:rsidR="00B75547" w:rsidRPr="008D0C9E" w:rsidRDefault="00B75547" w:rsidP="008D0C9E">
      <w:pPr>
        <w:spacing w:line="240" w:lineRule="auto"/>
        <w:jc w:val="both"/>
        <w:rPr>
          <w:rFonts w:ascii="Century Gothic" w:hAnsi="Century Gothic"/>
          <w:b/>
          <w:bCs/>
          <w:sz w:val="20"/>
          <w:szCs w:val="20"/>
        </w:rPr>
      </w:pPr>
      <w:r w:rsidRPr="008D0C9E">
        <w:rPr>
          <w:rFonts w:ascii="Century Gothic" w:hAnsi="Century Gothic"/>
          <w:b/>
          <w:bCs/>
          <w:sz w:val="20"/>
          <w:szCs w:val="20"/>
        </w:rPr>
        <w:t>VII. SPREMEMBE POGODBE</w:t>
      </w:r>
    </w:p>
    <w:p w14:paraId="424C1506"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21. člen</w:t>
      </w:r>
    </w:p>
    <w:p w14:paraId="7BCF6FB4"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Pogodba se lahko v času njene veljavnosti spremeni ali dopolni pod pogoji, določenimi s to pogodbo in 95. členom ZJN-3. Spremembe pogodbe, za katere je s tem členom oziroma z drugimi določbami te pogodbe predvidena sklenitev aneksa, pogodbeni stranki uredita s pisnim aneksom.</w:t>
      </w:r>
    </w:p>
    <w:p w14:paraId="5FFD3524"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Pogodbeni stranki ugotavljata, da so bile v dokumentaciji v zvezi z oddajo javnega naročila vnaprej predvidene naslednje možnosti spremembe pogodbe:</w:t>
      </w:r>
    </w:p>
    <w:p w14:paraId="0FEC7D86" w14:textId="77777777" w:rsidR="00B75547" w:rsidRPr="00170D30" w:rsidRDefault="00B75547" w:rsidP="008D0C9E">
      <w:pPr>
        <w:pStyle w:val="Odstavekseznama"/>
        <w:numPr>
          <w:ilvl w:val="0"/>
          <w:numId w:val="3"/>
        </w:numPr>
        <w:spacing w:before="200" w:after="0" w:line="240" w:lineRule="auto"/>
        <w:jc w:val="both"/>
        <w:rPr>
          <w:rFonts w:ascii="Century Gothic" w:hAnsi="Century Gothic"/>
          <w:sz w:val="20"/>
          <w:szCs w:val="20"/>
        </w:rPr>
      </w:pPr>
      <w:r w:rsidRPr="00170D30">
        <w:rPr>
          <w:rFonts w:ascii="Century Gothic" w:hAnsi="Century Gothic"/>
          <w:b/>
          <w:bCs/>
          <w:sz w:val="20"/>
          <w:szCs w:val="20"/>
        </w:rPr>
        <w:t>Vključitev novih merilnih mest</w:t>
      </w:r>
    </w:p>
    <w:p w14:paraId="7E98302E"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 xml:space="preserve">Če naročnik v času trajanja pogodbe pridobi oziroma začne upravljati novo merilno mesto ali postane plačnik električne energije za dodatno merilno mesto oziroma se ugotovi, da </w:t>
      </w:r>
      <w:r w:rsidRPr="00170D30">
        <w:rPr>
          <w:rFonts w:ascii="Century Gothic" w:hAnsi="Century Gothic"/>
          <w:sz w:val="20"/>
          <w:szCs w:val="20"/>
        </w:rPr>
        <w:lastRenderedPageBreak/>
        <w:t>posamezno merilno mesto naročnika ni bilo vključeno v seznam merilnih mest, ki je priloga te pogodbe, se lahko takšno merilno mesto vključi v izvajanje te pogodbe.</w:t>
      </w:r>
    </w:p>
    <w:p w14:paraId="2F7D3EE3"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Naročnik o vključitvi novega merilnega mesta pisno obvesti dobavitelja ter mu posreduje podatke in pooblastila, potrebna za izvedbo postopkov v skladu z vsakokrat veljavnimi Sistemskimi obratovalnimi navodili za distribucijski sistem električne energije (SONDSEE) in drugimi veljavnimi predpisi ter splošnimi akti, ki urejajo oskrbo z električno energijo.</w:t>
      </w:r>
    </w:p>
    <w:p w14:paraId="72E24CC6"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Dobavitelj se zavezuje na podlagi obvestila naročnika pravočasno in brez dodatnega plačila izvesti vse postopke, potrebne za evidentiranje pogodbe o dobavi oziroma menjavo dobavitelja in začetek dobave električne energije na novem merilnem mestu, v rokih in na način, določen z vsakokrat veljavnimi predpisi in SONDSEE.</w:t>
      </w:r>
    </w:p>
    <w:p w14:paraId="6EA83E9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Za novo merilno mesto veljajo enake pogodbene cene in drugi pogoji dobave, kot veljajo za primerljiva merilna mesta po tej pogodbi.</w:t>
      </w:r>
    </w:p>
    <w:p w14:paraId="47770273"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Vključitev novega merilnega mesta pogodbeni stranki uredita s pisnim aneksom k pogodbi. V aneksu se opredelijo najmanj podatki o novem merilnem mestu, datum začetka dobave, ocenjena poraba novega merilnega mesta za preostalo obdobje veljavnosti pogodbe ter ocenjena vrednost dobave električne energije za novo merilno mesto.</w:t>
      </w:r>
    </w:p>
    <w:p w14:paraId="3BA5C188"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Ocenjena skupna pogodbena vrednost se z aneksom ustrezno poveča. Z aneksom ugotovljena nova ocenjena pogodbena vrednost ne predstavlja zagotovljene vrednosti oziroma količine dobave. Naročnik plačuje izključno dejansko dobavljene količine električne energije.</w:t>
      </w:r>
    </w:p>
    <w:p w14:paraId="60FE4A62"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Možnost vključitve novih merilnih mest pod pogoji tega člena predstavlja vnaprej predvideno spremembo pogodbe v smislu 1. točke prvega odstavka 95. člena ZJN-3.</w:t>
      </w:r>
    </w:p>
    <w:p w14:paraId="1678727D" w14:textId="77777777" w:rsidR="00B75547" w:rsidRPr="00170D30" w:rsidRDefault="00B75547" w:rsidP="008D0C9E">
      <w:pPr>
        <w:pStyle w:val="Odstavekseznama"/>
        <w:numPr>
          <w:ilvl w:val="0"/>
          <w:numId w:val="3"/>
        </w:numPr>
        <w:spacing w:before="200" w:after="0" w:line="240" w:lineRule="auto"/>
        <w:jc w:val="both"/>
        <w:rPr>
          <w:rFonts w:ascii="Century Gothic" w:hAnsi="Century Gothic"/>
          <w:sz w:val="20"/>
          <w:szCs w:val="20"/>
        </w:rPr>
      </w:pPr>
      <w:r w:rsidRPr="00170D30">
        <w:rPr>
          <w:rFonts w:ascii="Century Gothic" w:hAnsi="Century Gothic"/>
          <w:b/>
          <w:bCs/>
          <w:sz w:val="20"/>
          <w:szCs w:val="20"/>
        </w:rPr>
        <w:t>Sprememba pogodbenih cen – valorizacija</w:t>
      </w:r>
    </w:p>
    <w:p w14:paraId="25CCD391"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Pogodbene cene električne energije se lahko spremenijo pod pogoji in na način, določen z valorizacijsko klavzulo iz 7. člena te pogodbe.</w:t>
      </w:r>
    </w:p>
    <w:p w14:paraId="3DDD3752"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Valorizacija pogodbenih cen predstavlja vnaprej predvideno spremembo pogodbe v smislu 1. točke prvega odstavka 95. člena ZJN-3. Obseg spremembe, pogoji za njeno uveljavitev, uporabljeni indeks, način izračuna in postopek spremembe cen so določeni v 7. členu te pogodbe.</w:t>
      </w:r>
    </w:p>
    <w:p w14:paraId="6AA00FD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Sprememba pogodbenih cen se uredi s pisnim aneksom k pogodbi.</w:t>
      </w:r>
    </w:p>
    <w:p w14:paraId="198D91A4" w14:textId="77777777" w:rsidR="00B75547" w:rsidRPr="00170D30" w:rsidRDefault="00B75547" w:rsidP="008D0C9E">
      <w:pPr>
        <w:pStyle w:val="Odstavekseznama"/>
        <w:numPr>
          <w:ilvl w:val="0"/>
          <w:numId w:val="3"/>
        </w:numPr>
        <w:spacing w:before="200" w:after="0" w:line="240" w:lineRule="auto"/>
        <w:jc w:val="both"/>
        <w:rPr>
          <w:rFonts w:ascii="Century Gothic" w:hAnsi="Century Gothic"/>
          <w:sz w:val="20"/>
          <w:szCs w:val="20"/>
        </w:rPr>
      </w:pPr>
      <w:r w:rsidRPr="00170D30">
        <w:rPr>
          <w:rFonts w:ascii="Century Gothic" w:hAnsi="Century Gothic"/>
          <w:b/>
          <w:bCs/>
          <w:sz w:val="20"/>
          <w:szCs w:val="20"/>
        </w:rPr>
        <w:t>Podaljšanje obdobja dobave</w:t>
      </w:r>
    </w:p>
    <w:p w14:paraId="6718F9D2"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Naročnik si pridržuje možnost podaljšanja obdobja izvajanja pogodbe za največ tri (3) mesece, če pogodbe o dobavi električne energije za naslednje obdobje iz objektivnih razlogov, povezanih z izvedbo novega postopka javnega naročanja, ne bo mogoče skleniti pravočasno in bi zaradi prenehanja te pogodbe obstajalo tveganje, da naročnik po njenem prenehanju ne bi imel pravočasno zagotovljene dobave električne energije po novi pogodbi.</w:t>
      </w:r>
    </w:p>
    <w:p w14:paraId="4434E4C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Naročnik lahko navedeno možnost uporabi samo za čas, ki je nujno potreben za dokončanje postopka oddaje novega javnega naročila in začetek izvajanja nove pogodbe, vendar največ za tri (3) mesece po izteku prvotno dogovorjenega obdobja dobave.</w:t>
      </w:r>
    </w:p>
    <w:p w14:paraId="3C3A5B73"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Naročnik mora dobavitelja o nameravanem podaljšanju pogodbe pisno obvestiti takoj, ko je mogoče razumno ugotoviti, da nove pogodbe ne bo mogoče pravočasno skleniti.</w:t>
      </w:r>
    </w:p>
    <w:p w14:paraId="25D30F7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V času podaljšanja se dobava električne energije izvaja po pogodbenih cenah, veljavnih na zadnji dan prvotno dogovorjenega obdobja izvajanja pogodbe, ob upoštevanju morebitne valorizacije cen, izvedene skladno s 7. členom te pogodbe, ter pod vsemi drugimi nespremenjenimi pogoji te pogodbe.</w:t>
      </w:r>
    </w:p>
    <w:p w14:paraId="2D05F78B"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lastRenderedPageBreak/>
        <w:t>Ob podaljšanju se ocenjena pogodbena vrednost poveča za ocenjeno vrednost dobave električne energije v obdobju podaljšanja. Nova ocenjena pogodbena vrednost ne predstavlja zagotovljene vrednosti oziroma količine dobave.</w:t>
      </w:r>
    </w:p>
    <w:p w14:paraId="58F64DC3"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Podaljšanje pogodbe pogodbeni stranki uredita s pisnim aneksom.</w:t>
      </w:r>
    </w:p>
    <w:p w14:paraId="7C120981"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Možnost podaljšanja obdobja izvajanja pogodbe pod pogoji tega člena predstavlja vnaprej predvideno spremembo pogodbe v smislu 1. točke prvega odstavka 95. člena ZJN-3.</w:t>
      </w:r>
    </w:p>
    <w:p w14:paraId="5B0387A2" w14:textId="77777777" w:rsidR="00B75547" w:rsidRPr="00170D30" w:rsidRDefault="00B75547" w:rsidP="008D0C9E">
      <w:pPr>
        <w:pStyle w:val="Odstavekseznama"/>
        <w:numPr>
          <w:ilvl w:val="0"/>
          <w:numId w:val="3"/>
        </w:numPr>
        <w:spacing w:before="200" w:after="0" w:line="240" w:lineRule="auto"/>
        <w:jc w:val="both"/>
        <w:rPr>
          <w:rFonts w:ascii="Century Gothic" w:hAnsi="Century Gothic"/>
          <w:sz w:val="20"/>
          <w:szCs w:val="20"/>
        </w:rPr>
      </w:pPr>
      <w:r w:rsidRPr="00170D30">
        <w:rPr>
          <w:rFonts w:ascii="Century Gothic" w:hAnsi="Century Gothic"/>
          <w:b/>
          <w:bCs/>
          <w:sz w:val="20"/>
          <w:szCs w:val="20"/>
        </w:rPr>
        <w:t>Odstopanje dejanske porabe od ocenjenih količin</w:t>
      </w:r>
    </w:p>
    <w:p w14:paraId="31772FB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 xml:space="preserve">Večja ali manjša dejanska poraba električne energije na merilnih mestih, vključenih v pogodbo, glede na ocenjene količine iz dokumentacije v zvezi z oddajo javnega naročila in ponudbenega predračuna </w:t>
      </w:r>
      <w:r w:rsidRPr="00170D30">
        <w:rPr>
          <w:rFonts w:ascii="Century Gothic" w:hAnsi="Century Gothic"/>
          <w:b/>
          <w:bCs/>
          <w:sz w:val="20"/>
          <w:szCs w:val="20"/>
        </w:rPr>
        <w:t>ne predstavlja spremembe pogodbe in ne zahteva sklenitve aneksa</w:t>
      </w:r>
      <w:r w:rsidRPr="00170D30">
        <w:rPr>
          <w:rFonts w:ascii="Century Gothic" w:hAnsi="Century Gothic"/>
          <w:sz w:val="20"/>
          <w:szCs w:val="20"/>
        </w:rPr>
        <w:t>.</w:t>
      </w:r>
    </w:p>
    <w:p w14:paraId="446F2FF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Ocenjene količine so določene za potrebe izvedbe javnega naročila, priprave in primerjave ponudb ter določitve ocenjene pogodbene vrednosti. Naročnik ni zavezan prevzeti ocenjenih količin električne energije, dobavitelj pa se zavezuje v času veljavnosti pogodbe zagotavljati dejansko potrebne količine električne energije po cenah in drugih pogojih te pogodbe.</w:t>
      </w:r>
    </w:p>
    <w:p w14:paraId="7890DDF0"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Dobavitelj zaradi odstopanja dejanske porabe od ocenjenih količin ni upravičen do spremembe pogodbenih cen, povračila škode, izgubljenega dobička ali kakršnegakoli drugega nadomestila.</w:t>
      </w:r>
    </w:p>
    <w:p w14:paraId="689F4901" w14:textId="77777777" w:rsidR="00B75547" w:rsidRPr="00170D30" w:rsidRDefault="00B75547" w:rsidP="008D0C9E">
      <w:pPr>
        <w:pStyle w:val="Odstavekseznama"/>
        <w:numPr>
          <w:ilvl w:val="0"/>
          <w:numId w:val="3"/>
        </w:numPr>
        <w:spacing w:before="200" w:after="0" w:line="240" w:lineRule="auto"/>
        <w:jc w:val="both"/>
        <w:rPr>
          <w:rFonts w:ascii="Century Gothic" w:hAnsi="Century Gothic"/>
          <w:sz w:val="20"/>
          <w:szCs w:val="20"/>
        </w:rPr>
      </w:pPr>
      <w:r w:rsidRPr="00170D30">
        <w:rPr>
          <w:rFonts w:ascii="Century Gothic" w:hAnsi="Century Gothic"/>
          <w:b/>
          <w:bCs/>
          <w:sz w:val="20"/>
          <w:szCs w:val="20"/>
        </w:rPr>
        <w:t>Druge spremembe pogodbe</w:t>
      </w:r>
    </w:p>
    <w:p w14:paraId="41C09F47"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Poleg sprememb, izrecno predvidenih s to pogodbo in dokumentacijo v zvezi z oddajo javnega naročila, se lahko pogodba brez izvedbe novega postopka javnega naročanja spremeni tudi v drugih primerih in pod pogoji, ki jih določa 95. člen ZJN-3.</w:t>
      </w:r>
    </w:p>
    <w:p w14:paraId="15AB408F"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Nobena sprememba pogodbe ne sme spremeniti splošne narave javnega naročila.</w:t>
      </w:r>
    </w:p>
    <w:p w14:paraId="65D878A7"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Če je posamezna določba te pogodbe nična, neveljavna ali postane neizvršljiva, to ne vpliva na veljavnost preostalih določb pogodbe. Pogodbeni stranki bosta tako določbo nadomestili z veljavno določbo, ki bo glede na njen pravni in gospodarski namen v največji možni meri ustrezala namenu prvotne določbe.</w:t>
      </w:r>
    </w:p>
    <w:p w14:paraId="3C997C2E" w14:textId="77777777" w:rsidR="00B75547" w:rsidRPr="008D0C9E"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Če katerakoli od določb te pogodbe je ali postane neveljavna, to ne vpliva na ostale določbe. Neveljavna določba se nadomesti z veljavno, ki mora čim bolj ustrezati namenu, ki ga je želela doseči neveljavna določba. Sprememba pogodbe ne sme biti bistvena skladno s 95. členom ZJN-3.</w:t>
      </w:r>
    </w:p>
    <w:p w14:paraId="673DBE8F"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VIII. PROTIKORUPCIJSKA KLAVZULA</w:t>
      </w:r>
    </w:p>
    <w:p w14:paraId="46C46996"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22. člen</w:t>
      </w:r>
    </w:p>
    <w:p w14:paraId="7813801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1F2537EA"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23. člen</w:t>
      </w:r>
    </w:p>
    <w:p w14:paraId="71DECBC5"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IX. RAZVEZNI POGOJ</w:t>
      </w:r>
    </w:p>
    <w:p w14:paraId="0B3C3483" w14:textId="77777777" w:rsidR="00B75547" w:rsidRPr="008D0C9E" w:rsidRDefault="00B75547" w:rsidP="008D0C9E">
      <w:pPr>
        <w:spacing w:line="240" w:lineRule="auto"/>
        <w:rPr>
          <w:rFonts w:ascii="Century Gothic" w:hAnsi="Century Gothic" w:cstheme="minorHAnsi"/>
          <w:sz w:val="20"/>
          <w:szCs w:val="20"/>
        </w:rPr>
      </w:pPr>
      <w:r w:rsidRPr="008D0C9E">
        <w:rPr>
          <w:rFonts w:ascii="Century Gothic" w:hAnsi="Century Gothic" w:cstheme="minorHAnsi"/>
          <w:sz w:val="20"/>
          <w:szCs w:val="20"/>
        </w:rPr>
        <w:t>Ta pogodba je sklenjena pod razveznim pogojem, ki se uresniči v primeru izpolnitve ene od naslednjih okoliščin:</w:t>
      </w:r>
    </w:p>
    <w:p w14:paraId="1FB74774" w14:textId="77777777" w:rsidR="00B75547" w:rsidRPr="008D0C9E" w:rsidRDefault="00B75547" w:rsidP="008D0C9E">
      <w:pPr>
        <w:pStyle w:val="Odstavekseznama"/>
        <w:numPr>
          <w:ilvl w:val="0"/>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lastRenderedPageBreak/>
        <w:t xml:space="preserve">če bo naročnik seznanjen, da je sodišče s pravnomočno odločitvijo ugotovilo kršitev obveznosti delovne, </w:t>
      </w:r>
      <w:proofErr w:type="spellStart"/>
      <w:r w:rsidRPr="008D0C9E">
        <w:rPr>
          <w:rFonts w:ascii="Century Gothic" w:hAnsi="Century Gothic" w:cstheme="minorHAnsi"/>
          <w:sz w:val="20"/>
          <w:szCs w:val="20"/>
        </w:rPr>
        <w:t>okoljske</w:t>
      </w:r>
      <w:proofErr w:type="spellEnd"/>
      <w:r w:rsidRPr="008D0C9E">
        <w:rPr>
          <w:rFonts w:ascii="Century Gothic" w:hAnsi="Century Gothic" w:cstheme="minorHAnsi"/>
          <w:sz w:val="20"/>
          <w:szCs w:val="20"/>
        </w:rPr>
        <w:t xml:space="preserve"> ali socialne zakonodaje s strani izvajalca ali podizvajalca ali </w:t>
      </w:r>
    </w:p>
    <w:p w14:paraId="553CFA04" w14:textId="77777777" w:rsidR="00B75547" w:rsidRPr="008D0C9E" w:rsidRDefault="00B75547" w:rsidP="008D0C9E">
      <w:pPr>
        <w:pStyle w:val="Odstavekseznama"/>
        <w:numPr>
          <w:ilvl w:val="0"/>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1F50533B" w14:textId="77777777" w:rsidR="00B75547" w:rsidRPr="008D0C9E" w:rsidRDefault="00B75547" w:rsidP="008D0C9E">
      <w:pPr>
        <w:pStyle w:val="Odstavekseznama"/>
        <w:numPr>
          <w:ilvl w:val="1"/>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plačilom za delo, </w:t>
      </w:r>
    </w:p>
    <w:p w14:paraId="6795C7DC" w14:textId="77777777" w:rsidR="00B75547" w:rsidRPr="008D0C9E" w:rsidRDefault="00B75547" w:rsidP="008D0C9E">
      <w:pPr>
        <w:pStyle w:val="Odstavekseznama"/>
        <w:numPr>
          <w:ilvl w:val="1"/>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delovnim časom, </w:t>
      </w:r>
    </w:p>
    <w:p w14:paraId="7821436C" w14:textId="77777777" w:rsidR="00B75547" w:rsidRPr="008D0C9E" w:rsidRDefault="00B75547" w:rsidP="008D0C9E">
      <w:pPr>
        <w:pStyle w:val="Odstavekseznama"/>
        <w:numPr>
          <w:ilvl w:val="1"/>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počitki, </w:t>
      </w:r>
    </w:p>
    <w:p w14:paraId="2F2473C8" w14:textId="77777777" w:rsidR="00B75547" w:rsidRPr="008D0C9E" w:rsidRDefault="00B75547" w:rsidP="008D0C9E">
      <w:pPr>
        <w:pStyle w:val="Odstavekseznama"/>
        <w:numPr>
          <w:ilvl w:val="1"/>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opravljanjem dela na podlagi pogodb civilnega prava kljub obstoju elementov delovnega razmerja ali </w:t>
      </w:r>
    </w:p>
    <w:p w14:paraId="247A88B7" w14:textId="77777777" w:rsidR="00B75547" w:rsidRPr="008D0C9E" w:rsidRDefault="00B75547" w:rsidP="008D0C9E">
      <w:pPr>
        <w:pStyle w:val="Odstavekseznama"/>
        <w:numPr>
          <w:ilvl w:val="1"/>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v zvezi z zaposlovanjem na črno </w:t>
      </w:r>
    </w:p>
    <w:p w14:paraId="0BDB8BC8" w14:textId="77777777" w:rsidR="00B75547" w:rsidRPr="008D0C9E" w:rsidRDefault="00B75547" w:rsidP="008D0C9E">
      <w:p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in za kateri mu je bila s pravnomočno odločitvijo ali več pravnomočnimi odločitvami izrečena globa za prekršek.</w:t>
      </w:r>
    </w:p>
    <w:p w14:paraId="008E2D16" w14:textId="77777777" w:rsidR="00B75547" w:rsidRPr="008D0C9E" w:rsidRDefault="00B75547" w:rsidP="008D0C9E">
      <w:p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V primeru seznanitve naročnika s kršitvijo bo naročnik o tem obvestil izvajalca v desetih dneh. </w:t>
      </w:r>
    </w:p>
    <w:p w14:paraId="696445A9" w14:textId="77777777" w:rsidR="00B75547" w:rsidRPr="008D0C9E" w:rsidRDefault="00B75547" w:rsidP="008D0C9E">
      <w:p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D0C9E">
        <w:rPr>
          <w:rFonts w:ascii="Century Gothic" w:hAnsi="Century Gothic" w:cstheme="minorHAnsi"/>
          <w:sz w:val="20"/>
          <w:szCs w:val="20"/>
        </w:rPr>
        <w:t>podizvajanje</w:t>
      </w:r>
      <w:proofErr w:type="spellEnd"/>
      <w:r w:rsidRPr="008D0C9E">
        <w:rPr>
          <w:rFonts w:ascii="Century Gothic" w:hAnsi="Century Gothic" w:cstheme="minorHAnsi"/>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6D145BA" w14:textId="77777777" w:rsidR="00B75547" w:rsidRPr="008D0C9E" w:rsidRDefault="00B75547" w:rsidP="008D0C9E">
      <w:p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656CD400" w14:textId="77777777" w:rsidR="00B75547" w:rsidRPr="008D0C9E" w:rsidRDefault="00B75547" w:rsidP="008D0C9E">
      <w:p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Če naročnik v 60 dneh od seznanitve s kršitvijo ne začne novega postopka javnega naročila, se šteje, da je pogodba razvezana šestdeseti dan od seznanitve s kršitvijo.</w:t>
      </w:r>
    </w:p>
    <w:p w14:paraId="1B0DDF44" w14:textId="77777777" w:rsidR="00B75547" w:rsidRPr="008D0C9E" w:rsidRDefault="00B75547" w:rsidP="008D0C9E">
      <w:pPr>
        <w:numPr>
          <w:ilvl w:val="12"/>
          <w:numId w:val="0"/>
        </w:num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V primeru, da so izpolnjeni pogoji za predčasno prenehanje pogodbe po prejšnjem odstavku, naročnik odstopi od pogodbe.</w:t>
      </w:r>
    </w:p>
    <w:p w14:paraId="7E3AF051" w14:textId="77777777" w:rsidR="00B75547" w:rsidRPr="008D0C9E" w:rsidRDefault="00B75547" w:rsidP="008D0C9E">
      <w:pPr>
        <w:autoSpaceDE w:val="0"/>
        <w:adjustRightInd w:val="0"/>
        <w:spacing w:line="240" w:lineRule="auto"/>
        <w:jc w:val="both"/>
        <w:rPr>
          <w:rFonts w:ascii="Century Gothic" w:hAnsi="Century Gothic" w:cstheme="minorHAnsi"/>
          <w:sz w:val="20"/>
          <w:szCs w:val="20"/>
        </w:rPr>
      </w:pPr>
      <w:r w:rsidRPr="008D0C9E">
        <w:rPr>
          <w:rFonts w:ascii="Century Gothic" w:hAnsi="Century Gothic" w:cstheme="minorHAnsi"/>
          <w:sz w:val="20"/>
          <w:szCs w:val="20"/>
        </w:rPr>
        <w:t>V primeru predčasnega prenehanja pogodbe je naročnik dolžan dobavitelju plačati pravilno izvedene in do dneva prenehanja pogodbe dejansko opravljene dobave električne energije. Navedeno ne posega v pravico naročnika do povračila škode, unovčenja finančnega zavarovanja in uveljavljanja drugih zahtevkov v skladu s pogodbo in veljavnimi predpisi.</w:t>
      </w:r>
    </w:p>
    <w:p w14:paraId="3622519B" w14:textId="77777777" w:rsidR="00B75547" w:rsidRPr="008D0C9E" w:rsidRDefault="00B75547" w:rsidP="008D0C9E">
      <w:pPr>
        <w:autoSpaceDE w:val="0"/>
        <w:adjustRightInd w:val="0"/>
        <w:spacing w:line="240" w:lineRule="auto"/>
        <w:jc w:val="both"/>
        <w:rPr>
          <w:rFonts w:ascii="Century Gothic" w:hAnsi="Century Gothic" w:cstheme="minorHAnsi"/>
          <w:b/>
          <w:bCs/>
          <w:sz w:val="20"/>
          <w:szCs w:val="20"/>
        </w:rPr>
      </w:pPr>
      <w:r w:rsidRPr="008D0C9E">
        <w:rPr>
          <w:rFonts w:ascii="Century Gothic" w:hAnsi="Century Gothic" w:cstheme="minorHAnsi"/>
          <w:b/>
          <w:bCs/>
          <w:sz w:val="20"/>
          <w:szCs w:val="20"/>
        </w:rPr>
        <w:t>X. PREHODNE IN KONČNE DOLOČBE</w:t>
      </w:r>
    </w:p>
    <w:p w14:paraId="5DA17CA7"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24. člen</w:t>
      </w:r>
    </w:p>
    <w:p w14:paraId="1737E83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56D53045"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25. člen</w:t>
      </w:r>
    </w:p>
    <w:p w14:paraId="4BA9A52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Pogodba se sklepa za določen čas za obdobje od podpisa le-te do 31.12.2028, izvajati pa se začne z dnem, ko merilna mesta preidejo v bilančno skupino dobavitelja. </w:t>
      </w:r>
    </w:p>
    <w:p w14:paraId="46328E95"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26. člen</w:t>
      </w:r>
    </w:p>
    <w:p w14:paraId="1C94BECD"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lastRenderedPageBreak/>
        <w:t>Pogodba je sestavljena v dveh (2) enakih in izvirnih izvodih, od katerih prejme vsaka stranka po en (1) izvod.</w:t>
      </w:r>
    </w:p>
    <w:p w14:paraId="11687BB1"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Datum: ________________________</w:t>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t>Datum: ________________________</w:t>
      </w:r>
    </w:p>
    <w:p w14:paraId="705DF822"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Dobavitelj:</w:t>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t>Naročnik:</w:t>
      </w:r>
    </w:p>
    <w:p w14:paraId="6005317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________________________________</w:t>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t>CEROP d.o.o.</w:t>
      </w:r>
    </w:p>
    <w:p w14:paraId="424707C8" w14:textId="77777777" w:rsidR="00B75547" w:rsidRPr="008D0C9E" w:rsidRDefault="00B75547" w:rsidP="008D0C9E">
      <w:pPr>
        <w:spacing w:line="240" w:lineRule="auto"/>
        <w:ind w:left="4248" w:firstLine="708"/>
        <w:rPr>
          <w:rFonts w:ascii="Century Gothic" w:hAnsi="Century Gothic"/>
          <w:sz w:val="20"/>
          <w:szCs w:val="20"/>
        </w:rPr>
      </w:pPr>
      <w:r w:rsidRPr="008D0C9E">
        <w:rPr>
          <w:rFonts w:ascii="Century Gothic" w:hAnsi="Century Gothic"/>
          <w:sz w:val="20"/>
          <w:szCs w:val="20"/>
        </w:rPr>
        <w:t>Simona BIRO, direktorica</w:t>
      </w:r>
    </w:p>
    <w:p w14:paraId="3A0258ED" w14:textId="77777777" w:rsidR="00B75547" w:rsidRPr="008D0C9E" w:rsidRDefault="00B75547" w:rsidP="008D0C9E">
      <w:pPr>
        <w:spacing w:line="240" w:lineRule="auto"/>
        <w:rPr>
          <w:rFonts w:ascii="Century Gothic" w:hAnsi="Century Gothic"/>
          <w:sz w:val="20"/>
          <w:szCs w:val="20"/>
        </w:rPr>
      </w:pPr>
    </w:p>
    <w:p w14:paraId="071A4AB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Priloga:</w:t>
      </w:r>
    </w:p>
    <w:p w14:paraId="16B07D43" w14:textId="77777777" w:rsidR="00B75547" w:rsidRPr="008D0C9E" w:rsidRDefault="00B75547" w:rsidP="008D0C9E">
      <w:pPr>
        <w:spacing w:line="240" w:lineRule="auto"/>
        <w:rPr>
          <w:rFonts w:ascii="Century Gothic" w:hAnsi="Century Gothic"/>
          <w:sz w:val="20"/>
          <w:szCs w:val="20"/>
        </w:rPr>
      </w:pPr>
      <w:r w:rsidRPr="008D0C9E">
        <w:rPr>
          <w:rFonts w:ascii="Arial" w:hAnsi="Arial" w:cs="Arial"/>
          <w:sz w:val="20"/>
          <w:szCs w:val="20"/>
        </w:rPr>
        <w:t>̵</w:t>
      </w:r>
      <w:r w:rsidRPr="008D0C9E">
        <w:rPr>
          <w:rFonts w:ascii="Century Gothic" w:hAnsi="Century Gothic"/>
          <w:sz w:val="20"/>
          <w:szCs w:val="20"/>
        </w:rPr>
        <w:t xml:space="preserve"> seznam merilnih mest</w:t>
      </w:r>
    </w:p>
    <w:p w14:paraId="0BC22AB7" w14:textId="77777777" w:rsidR="00B75547" w:rsidRPr="008D0C9E" w:rsidRDefault="00B75547" w:rsidP="008D0C9E">
      <w:pPr>
        <w:spacing w:line="240" w:lineRule="auto"/>
        <w:rPr>
          <w:rFonts w:ascii="Century Gothic" w:hAnsi="Century Gothic"/>
          <w:sz w:val="20"/>
          <w:szCs w:val="20"/>
        </w:rPr>
      </w:pPr>
      <w:r w:rsidRPr="008D0C9E">
        <w:rPr>
          <w:rFonts w:ascii="Arial" w:hAnsi="Arial" w:cs="Arial"/>
          <w:sz w:val="20"/>
          <w:szCs w:val="20"/>
        </w:rPr>
        <w:t>̵</w:t>
      </w:r>
      <w:r w:rsidRPr="008D0C9E">
        <w:rPr>
          <w:rFonts w:ascii="Century Gothic" w:hAnsi="Century Gothic"/>
          <w:sz w:val="20"/>
          <w:szCs w:val="20"/>
        </w:rPr>
        <w:t xml:space="preserve"> bianco menica s pooblastilom za izpolnitev, ki jo mora stranka pogodbe naročniku izročiti ob podpisu pogodbe -3x;</w:t>
      </w:r>
    </w:p>
    <w:p w14:paraId="32ED6AE0" w14:textId="77777777" w:rsidR="00B75547" w:rsidRPr="008D0C9E" w:rsidRDefault="00B75547" w:rsidP="008D0C9E">
      <w:pPr>
        <w:spacing w:line="240" w:lineRule="auto"/>
        <w:rPr>
          <w:rFonts w:ascii="Century Gothic" w:hAnsi="Century Gothic"/>
          <w:sz w:val="20"/>
          <w:szCs w:val="20"/>
        </w:rPr>
      </w:pPr>
      <w:r w:rsidRPr="008D0C9E">
        <w:rPr>
          <w:rFonts w:ascii="Arial" w:hAnsi="Arial" w:cs="Arial"/>
          <w:sz w:val="20"/>
          <w:szCs w:val="20"/>
        </w:rPr>
        <w:t>̵</w:t>
      </w:r>
      <w:r w:rsidRPr="008D0C9E">
        <w:rPr>
          <w:rFonts w:ascii="Century Gothic" w:hAnsi="Century Gothic"/>
          <w:sz w:val="20"/>
          <w:szCs w:val="20"/>
        </w:rPr>
        <w:t xml:space="preserve"> ponudba dobavitelja št. ____________;</w:t>
      </w:r>
    </w:p>
    <w:p w14:paraId="5929D649" w14:textId="77777777" w:rsidR="00B75547" w:rsidRPr="008D0C9E" w:rsidRDefault="00B75547" w:rsidP="008D0C9E">
      <w:pPr>
        <w:spacing w:line="240" w:lineRule="auto"/>
        <w:rPr>
          <w:rFonts w:ascii="Century Gothic" w:hAnsi="Century Gothic"/>
          <w:sz w:val="20"/>
          <w:szCs w:val="20"/>
        </w:rPr>
      </w:pPr>
      <w:r w:rsidRPr="008D0C9E">
        <w:rPr>
          <w:rFonts w:ascii="Arial" w:hAnsi="Arial" w:cs="Arial"/>
          <w:sz w:val="20"/>
          <w:szCs w:val="20"/>
        </w:rPr>
        <w:t>̵</w:t>
      </w:r>
      <w:r w:rsidRPr="008D0C9E">
        <w:rPr>
          <w:rFonts w:ascii="Century Gothic" w:hAnsi="Century Gothic"/>
          <w:sz w:val="20"/>
          <w:szCs w:val="20"/>
        </w:rPr>
        <w:t xml:space="preserve"> izjava dobavitelja v skladu s 6. odstavkom 14. člena Zakona o integriteti in preprečevanju korupcije (</w:t>
      </w:r>
      <w:proofErr w:type="spellStart"/>
      <w:r w:rsidRPr="008D0C9E">
        <w:rPr>
          <w:rFonts w:ascii="Century Gothic" w:hAnsi="Century Gothic"/>
          <w:sz w:val="20"/>
          <w:szCs w:val="20"/>
        </w:rPr>
        <w:t>ZIntPK</w:t>
      </w:r>
      <w:proofErr w:type="spellEnd"/>
      <w:r w:rsidRPr="008D0C9E">
        <w:rPr>
          <w:rFonts w:ascii="Century Gothic" w:hAnsi="Century Gothic"/>
          <w:sz w:val="20"/>
          <w:szCs w:val="20"/>
        </w:rPr>
        <w:t>)</w:t>
      </w:r>
    </w:p>
    <w:p w14:paraId="60946AF9" w14:textId="77777777" w:rsidR="00FC4DAA" w:rsidRDefault="00FC4DAA"/>
    <w:sectPr w:rsidR="00FC4DAA" w:rsidSect="00B7554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0594F" w14:textId="77777777" w:rsidR="002E5047" w:rsidRDefault="002E5047">
      <w:pPr>
        <w:spacing w:after="0" w:line="240" w:lineRule="auto"/>
      </w:pPr>
      <w:r>
        <w:separator/>
      </w:r>
    </w:p>
  </w:endnote>
  <w:endnote w:type="continuationSeparator" w:id="0">
    <w:p w14:paraId="18B5FBDB" w14:textId="77777777" w:rsidR="002E5047" w:rsidRDefault="002E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E5357" w14:textId="77777777" w:rsidR="00B75547" w:rsidRDefault="00B7554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33E6D" w14:textId="77777777" w:rsidR="00B75547" w:rsidRDefault="00B7554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AD3E5" w14:textId="77777777" w:rsidR="00B75547" w:rsidRDefault="00B755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FA4FC" w14:textId="77777777" w:rsidR="002E5047" w:rsidRDefault="002E5047">
      <w:pPr>
        <w:spacing w:after="0" w:line="240" w:lineRule="auto"/>
      </w:pPr>
      <w:r>
        <w:separator/>
      </w:r>
    </w:p>
  </w:footnote>
  <w:footnote w:type="continuationSeparator" w:id="0">
    <w:p w14:paraId="30661FE0" w14:textId="77777777" w:rsidR="002E5047" w:rsidRDefault="002E50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D585" w14:textId="77777777" w:rsidR="00B75547" w:rsidRDefault="00000000">
    <w:pPr>
      <w:pStyle w:val="Glava"/>
    </w:pPr>
    <w:r>
      <w:rPr>
        <w:noProof/>
      </w:rPr>
      <w:pict w14:anchorId="350E90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6" o:spid="_x0000_s1025" type="#_x0000_t136" style="position:absolute;margin-left:0;margin-top:0;width:426.35pt;height:213.1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6FBA0" w14:textId="77777777" w:rsidR="00B75547" w:rsidRPr="00393214" w:rsidRDefault="00000000" w:rsidP="00393214">
    <w:pPr>
      <w:pStyle w:val="Glava"/>
      <w:jc w:val="right"/>
      <w:rPr>
        <w:rFonts w:ascii="Century Gothic" w:hAnsi="Century Gothic"/>
        <w:color w:val="8DD873" w:themeColor="accent6" w:themeTint="99"/>
        <w:sz w:val="18"/>
        <w:szCs w:val="18"/>
      </w:rPr>
    </w:pPr>
    <w:r>
      <w:rPr>
        <w:noProof/>
      </w:rPr>
      <w:pict w14:anchorId="481EAA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7" o:spid="_x0000_s1026" type="#_x0000_t136" style="position:absolute;left:0;text-align:left;margin-left:0;margin-top:0;width:426.35pt;height:213.15pt;rotation:315;z-index:-251657728;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r w:rsidR="00B75547" w:rsidRPr="00393214">
      <w:rPr>
        <w:rFonts w:ascii="Century Gothic" w:hAnsi="Century Gothic"/>
        <w:color w:val="8DD873" w:themeColor="accent6" w:themeTint="99"/>
        <w:sz w:val="18"/>
        <w:szCs w:val="18"/>
      </w:rPr>
      <w:t>OBR. - POGODBA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5E3E3" w14:textId="77777777" w:rsidR="00B75547" w:rsidRDefault="00000000">
    <w:pPr>
      <w:pStyle w:val="Glava"/>
    </w:pPr>
    <w:r>
      <w:rPr>
        <w:noProof/>
      </w:rPr>
      <w:pict w14:anchorId="34CCCE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5" o:spid="_x0000_s1027" type="#_x0000_t136" style="position:absolute;margin-left:0;margin-top:0;width:426.35pt;height:213.15pt;rotation:315;z-index:-251659776;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77212"/>
    <w:multiLevelType w:val="hybridMultilevel"/>
    <w:tmpl w:val="6F8E08C2"/>
    <w:lvl w:ilvl="0" w:tplc="3FAE4C9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513540596">
    <w:abstractNumId w:val="2"/>
  </w:num>
  <w:num w:numId="3" w16cid:durableId="10567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547"/>
    <w:rsid w:val="00170D30"/>
    <w:rsid w:val="00267948"/>
    <w:rsid w:val="002E5047"/>
    <w:rsid w:val="003C7E4C"/>
    <w:rsid w:val="003E33AD"/>
    <w:rsid w:val="005972CC"/>
    <w:rsid w:val="008D0C9E"/>
    <w:rsid w:val="00B75547"/>
    <w:rsid w:val="00CA2B30"/>
    <w:rsid w:val="00D03426"/>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BCA3A"/>
  <w15:chartTrackingRefBased/>
  <w15:docId w15:val="{2544D381-0573-4012-BCD6-3E62DC1E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5547"/>
    <w:pPr>
      <w:spacing w:line="259" w:lineRule="auto"/>
    </w:pPr>
    <w:rPr>
      <w:sz w:val="22"/>
      <w:szCs w:val="22"/>
    </w:rPr>
  </w:style>
  <w:style w:type="paragraph" w:styleId="Naslov1">
    <w:name w:val="heading 1"/>
    <w:basedOn w:val="Navaden"/>
    <w:next w:val="Navaden"/>
    <w:link w:val="Naslov1Znak"/>
    <w:uiPriority w:val="9"/>
    <w:qFormat/>
    <w:rsid w:val="00B755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755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7554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7554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7554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7554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7554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7554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7554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7554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7554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7554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7554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7554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7554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7554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7554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75547"/>
    <w:rPr>
      <w:rFonts w:eastAsiaTheme="majorEastAsia" w:cstheme="majorBidi"/>
      <w:color w:val="272727" w:themeColor="text1" w:themeTint="D8"/>
    </w:rPr>
  </w:style>
  <w:style w:type="paragraph" w:styleId="Naslov">
    <w:name w:val="Title"/>
    <w:basedOn w:val="Navaden"/>
    <w:next w:val="Navaden"/>
    <w:link w:val="NaslovZnak"/>
    <w:uiPriority w:val="10"/>
    <w:qFormat/>
    <w:rsid w:val="00B755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7554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7554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7554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75547"/>
    <w:pPr>
      <w:spacing w:before="160"/>
      <w:jc w:val="center"/>
    </w:pPr>
    <w:rPr>
      <w:i/>
      <w:iCs/>
      <w:color w:val="404040" w:themeColor="text1" w:themeTint="BF"/>
    </w:rPr>
  </w:style>
  <w:style w:type="character" w:customStyle="1" w:styleId="CitatZnak">
    <w:name w:val="Citat Znak"/>
    <w:basedOn w:val="Privzetapisavaodstavka"/>
    <w:link w:val="Citat"/>
    <w:uiPriority w:val="29"/>
    <w:rsid w:val="00B75547"/>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B75547"/>
    <w:pPr>
      <w:ind w:left="720"/>
      <w:contextualSpacing/>
    </w:pPr>
  </w:style>
  <w:style w:type="character" w:styleId="Intenzivenpoudarek">
    <w:name w:val="Intense Emphasis"/>
    <w:basedOn w:val="Privzetapisavaodstavka"/>
    <w:uiPriority w:val="21"/>
    <w:qFormat/>
    <w:rsid w:val="00B75547"/>
    <w:rPr>
      <w:i/>
      <w:iCs/>
      <w:color w:val="0F4761" w:themeColor="accent1" w:themeShade="BF"/>
    </w:rPr>
  </w:style>
  <w:style w:type="paragraph" w:styleId="Intenzivencitat">
    <w:name w:val="Intense Quote"/>
    <w:basedOn w:val="Navaden"/>
    <w:next w:val="Navaden"/>
    <w:link w:val="IntenzivencitatZnak"/>
    <w:uiPriority w:val="30"/>
    <w:qFormat/>
    <w:rsid w:val="00B755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75547"/>
    <w:rPr>
      <w:i/>
      <w:iCs/>
      <w:color w:val="0F4761" w:themeColor="accent1" w:themeShade="BF"/>
    </w:rPr>
  </w:style>
  <w:style w:type="character" w:styleId="Intenzivensklic">
    <w:name w:val="Intense Reference"/>
    <w:basedOn w:val="Privzetapisavaodstavka"/>
    <w:uiPriority w:val="32"/>
    <w:qFormat/>
    <w:rsid w:val="00B75547"/>
    <w:rPr>
      <w:b/>
      <w:bCs/>
      <w:smallCaps/>
      <w:color w:val="0F4761" w:themeColor="accent1" w:themeShade="BF"/>
      <w:spacing w:val="5"/>
    </w:rPr>
  </w:style>
  <w:style w:type="paragraph" w:styleId="Glava">
    <w:name w:val="header"/>
    <w:basedOn w:val="Navaden"/>
    <w:link w:val="GlavaZnak"/>
    <w:uiPriority w:val="99"/>
    <w:unhideWhenUsed/>
    <w:rsid w:val="00B75547"/>
    <w:pPr>
      <w:tabs>
        <w:tab w:val="center" w:pos="4536"/>
        <w:tab w:val="right" w:pos="9072"/>
      </w:tabs>
      <w:spacing w:after="0" w:line="240" w:lineRule="auto"/>
    </w:pPr>
  </w:style>
  <w:style w:type="character" w:customStyle="1" w:styleId="GlavaZnak">
    <w:name w:val="Glava Znak"/>
    <w:basedOn w:val="Privzetapisavaodstavka"/>
    <w:link w:val="Glava"/>
    <w:uiPriority w:val="99"/>
    <w:rsid w:val="00B75547"/>
    <w:rPr>
      <w:sz w:val="22"/>
      <w:szCs w:val="22"/>
    </w:rPr>
  </w:style>
  <w:style w:type="paragraph" w:styleId="Noga">
    <w:name w:val="footer"/>
    <w:basedOn w:val="Navaden"/>
    <w:link w:val="NogaZnak"/>
    <w:uiPriority w:val="99"/>
    <w:unhideWhenUsed/>
    <w:rsid w:val="00B75547"/>
    <w:pPr>
      <w:tabs>
        <w:tab w:val="center" w:pos="4536"/>
        <w:tab w:val="right" w:pos="9072"/>
      </w:tabs>
      <w:spacing w:after="0" w:line="240" w:lineRule="auto"/>
    </w:pPr>
  </w:style>
  <w:style w:type="character" w:customStyle="1" w:styleId="NogaZnak">
    <w:name w:val="Noga Znak"/>
    <w:basedOn w:val="Privzetapisavaodstavka"/>
    <w:link w:val="Noga"/>
    <w:uiPriority w:val="99"/>
    <w:rsid w:val="00B75547"/>
    <w:rPr>
      <w:sz w:val="22"/>
      <w:szCs w:val="22"/>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B75547"/>
  </w:style>
  <w:style w:type="table" w:styleId="Tabelamrea">
    <w:name w:val="Table Grid"/>
    <w:basedOn w:val="Navadnatabela"/>
    <w:uiPriority w:val="39"/>
    <w:rsid w:val="00B75547"/>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11</Pages>
  <Words>4603</Words>
  <Characters>26238</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4</cp:revision>
  <cp:lastPrinted>2026-08-21T12:13:00Z</cp:lastPrinted>
  <dcterms:created xsi:type="dcterms:W3CDTF">2026-08-21T12:03:00Z</dcterms:created>
  <dcterms:modified xsi:type="dcterms:W3CDTF">2026-08-25T12:33:00Z</dcterms:modified>
</cp:coreProperties>
</file>